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A2D1F" w14:textId="3DE6E353" w:rsidR="00A12866" w:rsidRDefault="00A12866" w:rsidP="00A12866">
      <w:pPr>
        <w:spacing w:beforeAutospacing="1" w:afterAutospacing="1"/>
        <w:jc w:val="center"/>
        <w:rPr>
          <w:b/>
          <w:bCs/>
          <w:u w:val="single"/>
        </w:rPr>
      </w:pPr>
      <w:bookmarkStart w:id="0" w:name="_dxtcompanion_actionscomplete"/>
      <w:r w:rsidRPr="007F7413">
        <w:rPr>
          <w:b/>
          <w:bCs/>
          <w:u w:val="single"/>
        </w:rPr>
        <w:t xml:space="preserve">PROJECT </w:t>
      </w:r>
      <w:r w:rsidR="001B37C9">
        <w:rPr>
          <w:b/>
          <w:bCs/>
          <w:u w:val="single"/>
        </w:rPr>
        <w:t xml:space="preserve">UDAAN </w:t>
      </w:r>
      <w:r w:rsidRPr="007F7413">
        <w:rPr>
          <w:b/>
          <w:bCs/>
          <w:u w:val="single"/>
        </w:rPr>
        <w:t>| MATERIALITY THRESHOLDS</w:t>
      </w:r>
      <w:r>
        <w:rPr>
          <w:b/>
          <w:bCs/>
          <w:u w:val="single"/>
        </w:rPr>
        <w:t xml:space="preserve"> FOR LITIGATION, CREDITORS AND GROUP COMPANIES </w:t>
      </w:r>
    </w:p>
    <w:p w14:paraId="39B9C4C8" w14:textId="77777777" w:rsidR="006D2575" w:rsidRPr="006D2575" w:rsidRDefault="006D2575" w:rsidP="006D2575">
      <w:pPr>
        <w:tabs>
          <w:tab w:val="num" w:pos="426"/>
        </w:tabs>
        <w:jc w:val="both"/>
        <w:rPr>
          <w:b/>
          <w:bCs/>
          <w:u w:val="single"/>
        </w:rPr>
      </w:pPr>
      <w:r w:rsidRPr="006D2575">
        <w:rPr>
          <w:b/>
          <w:bCs/>
          <w:u w:val="single"/>
        </w:rPr>
        <w:t>Background</w:t>
      </w:r>
    </w:p>
    <w:p w14:paraId="26BEF3D7" w14:textId="77777777" w:rsidR="006D2575" w:rsidRPr="006D2575" w:rsidRDefault="006D2575" w:rsidP="006D2575">
      <w:pPr>
        <w:tabs>
          <w:tab w:val="num" w:pos="426"/>
        </w:tabs>
        <w:jc w:val="both"/>
      </w:pPr>
    </w:p>
    <w:p w14:paraId="069D4804" w14:textId="6E024217" w:rsidR="006D2575" w:rsidRPr="006D2575" w:rsidRDefault="006D2575" w:rsidP="006D2575">
      <w:pPr>
        <w:tabs>
          <w:tab w:val="num" w:pos="426"/>
        </w:tabs>
        <w:jc w:val="both"/>
      </w:pPr>
      <w:r w:rsidRPr="006D2575">
        <w:t>This policy (the “</w:t>
      </w:r>
      <w:r w:rsidRPr="006D2575">
        <w:rPr>
          <w:b/>
          <w:bCs/>
        </w:rPr>
        <w:t>Policy</w:t>
      </w:r>
      <w:r w:rsidRPr="006D2575">
        <w:t xml:space="preserve">”) has been formulated to define the respective materiality thresholds in respect of </w:t>
      </w:r>
      <w:r w:rsidR="008F65C9">
        <w:t xml:space="preserve">proposed initial public offering of the equity shares of  </w:t>
      </w:r>
      <w:r>
        <w:t>Naini Paper</w:t>
      </w:r>
      <w:r w:rsidR="005B500F">
        <w:t>s</w:t>
      </w:r>
      <w:r w:rsidRPr="006D2575">
        <w:t xml:space="preserve"> Limited (the “</w:t>
      </w:r>
      <w:r w:rsidRPr="006D2575">
        <w:rPr>
          <w:b/>
          <w:bCs/>
        </w:rPr>
        <w:t>Company</w:t>
      </w:r>
      <w:r w:rsidRPr="006D2575">
        <w:t>”</w:t>
      </w:r>
      <w:r w:rsidR="008F65C9">
        <w:t xml:space="preserve"> and such offering, the “</w:t>
      </w:r>
      <w:r w:rsidR="008F65C9">
        <w:rPr>
          <w:b/>
          <w:bCs/>
        </w:rPr>
        <w:t>Offer</w:t>
      </w:r>
      <w:r w:rsidR="008F65C9">
        <w:t>”</w:t>
      </w:r>
      <w:r w:rsidRPr="006D2575">
        <w:t>) in terms of the Securities and Exchange Board of India (Issue of Capital and Disclosure Requirements) Regulations, 2018 (“</w:t>
      </w:r>
      <w:r w:rsidRPr="006D2575">
        <w:rPr>
          <w:b/>
          <w:bCs/>
        </w:rPr>
        <w:t>SEBI ICDR Regulations</w:t>
      </w:r>
      <w:r w:rsidRPr="006D2575">
        <w:t xml:space="preserve">”), to be disclosed in the </w:t>
      </w:r>
      <w:r w:rsidR="00D632FA" w:rsidRPr="00D632FA">
        <w:t xml:space="preserve">Pre-filed Draft Red Herring Prospectus, the Updated Draft Red Herring Prospectus-I, the Updated Draft Red Herring Prospectus-II, the Red Herring Prospectus and the Prospectus </w:t>
      </w:r>
      <w:r w:rsidRPr="006D2575">
        <w:t>and any addendum or corrigendum thereto</w:t>
      </w:r>
      <w:r w:rsidR="007515C8">
        <w:t xml:space="preserve">, to be filed by the Company in relation to the </w:t>
      </w:r>
      <w:r w:rsidR="008F65C9">
        <w:t>Offer</w:t>
      </w:r>
      <w:r w:rsidRPr="006D2575">
        <w:t xml:space="preserve"> (“</w:t>
      </w:r>
      <w:r w:rsidRPr="006D2575">
        <w:rPr>
          <w:b/>
          <w:bCs/>
        </w:rPr>
        <w:t>Offer Documents</w:t>
      </w:r>
      <w:r w:rsidRPr="006D2575">
        <w:t>”).</w:t>
      </w:r>
    </w:p>
    <w:p w14:paraId="31EC0D7B" w14:textId="77777777" w:rsidR="006D2575" w:rsidRDefault="006D2575" w:rsidP="00851F7C">
      <w:pPr>
        <w:tabs>
          <w:tab w:val="num" w:pos="426"/>
        </w:tabs>
        <w:jc w:val="both"/>
      </w:pPr>
    </w:p>
    <w:p w14:paraId="5B440440" w14:textId="25559764" w:rsidR="00D0534F" w:rsidRPr="0099117D" w:rsidRDefault="00BF1F70" w:rsidP="00851F7C">
      <w:pPr>
        <w:tabs>
          <w:tab w:val="num" w:pos="426"/>
        </w:tabs>
        <w:jc w:val="both"/>
      </w:pPr>
      <w:r>
        <w:t xml:space="preserve">The Company, </w:t>
      </w:r>
      <w:r w:rsidR="001B37C9">
        <w:t>its</w:t>
      </w:r>
      <w:r w:rsidR="001B37C9" w:rsidRPr="008E7AC0">
        <w:t xml:space="preserve"> Promoter</w:t>
      </w:r>
      <w:r w:rsidR="001B37C9">
        <w:t>s</w:t>
      </w:r>
      <w:r w:rsidR="001B37C9" w:rsidRPr="008E7AC0">
        <w:t xml:space="preserve"> </w:t>
      </w:r>
      <w:r>
        <w:t>and Directors are hereinafter collectively referred to as the Relevant Parties (“</w:t>
      </w:r>
      <w:r>
        <w:rPr>
          <w:b/>
          <w:bCs/>
        </w:rPr>
        <w:t>Relevant Parties</w:t>
      </w:r>
      <w:r>
        <w:t>”)</w:t>
      </w:r>
      <w:r w:rsidR="00851F7C" w:rsidRPr="00F24B55">
        <w:t>.</w:t>
      </w:r>
      <w:r w:rsidR="0099117D" w:rsidRPr="00E04C77">
        <w:rPr>
          <w:b/>
          <w:bCs/>
        </w:rPr>
        <w:t xml:space="preserve"> </w:t>
      </w:r>
    </w:p>
    <w:p w14:paraId="5F5D062F" w14:textId="3D97E576" w:rsidR="003732EF" w:rsidRPr="003B42B8" w:rsidRDefault="003732EF" w:rsidP="002F4226">
      <w:pPr>
        <w:pStyle w:val="ListParagraph"/>
        <w:numPr>
          <w:ilvl w:val="0"/>
          <w:numId w:val="1"/>
        </w:numPr>
        <w:tabs>
          <w:tab w:val="clear" w:pos="720"/>
        </w:tabs>
        <w:ind w:left="0" w:hanging="426"/>
        <w:jc w:val="both"/>
        <w:rPr>
          <w:rFonts w:eastAsia="Times New Roman"/>
        </w:rPr>
      </w:pPr>
      <w:r w:rsidRPr="003B42B8">
        <w:rPr>
          <w:rFonts w:eastAsia="Times New Roman"/>
          <w:b/>
          <w:bCs/>
          <w:u w:val="single"/>
        </w:rPr>
        <w:t>Material Litigation</w:t>
      </w:r>
    </w:p>
    <w:p w14:paraId="0EC31983" w14:textId="46C00A64" w:rsidR="003732EF" w:rsidRPr="007F7413" w:rsidRDefault="003B42B8" w:rsidP="002F4226">
      <w:pPr>
        <w:pStyle w:val="ListParagraph"/>
        <w:keepNext/>
        <w:numPr>
          <w:ilvl w:val="0"/>
          <w:numId w:val="2"/>
        </w:numPr>
        <w:tabs>
          <w:tab w:val="clear" w:pos="720"/>
        </w:tabs>
        <w:ind w:left="0" w:hanging="284"/>
        <w:jc w:val="both"/>
        <w:rPr>
          <w:rFonts w:eastAsia="Times New Roman"/>
        </w:rPr>
      </w:pPr>
      <w:r w:rsidRPr="003B42B8">
        <w:rPr>
          <w:rFonts w:eastAsia="Times New Roman"/>
          <w:b/>
          <w:bCs/>
          <w:i/>
          <w:iCs/>
          <w:u w:val="single"/>
        </w:rPr>
        <w:t>Material Civil Litigation</w:t>
      </w:r>
      <w:r w:rsidR="003732EF" w:rsidRPr="007F7413">
        <w:rPr>
          <w:rFonts w:eastAsia="Times New Roman"/>
          <w:b/>
          <w:bCs/>
        </w:rPr>
        <w:t>:</w:t>
      </w:r>
    </w:p>
    <w:p w14:paraId="6C5369C3" w14:textId="262FC46D" w:rsidR="00593EE0" w:rsidRPr="009D2A8A" w:rsidRDefault="00593EE0" w:rsidP="00593EE0">
      <w:pPr>
        <w:spacing w:after="160" w:line="259" w:lineRule="auto"/>
        <w:contextualSpacing/>
        <w:jc w:val="both"/>
      </w:pPr>
      <w:r>
        <w:t xml:space="preserve">In accordance with </w:t>
      </w:r>
      <w:r w:rsidR="009B543C" w:rsidRPr="009B543C">
        <w:t xml:space="preserve">Paragraph 12 of Part A of Schedule VI of the </w:t>
      </w:r>
      <w:r w:rsidR="00492D8E">
        <w:t>SEBI ICDR Regulations</w:t>
      </w:r>
      <w:r>
        <w:t xml:space="preserve">, a </w:t>
      </w:r>
      <w:r w:rsidR="004565C1">
        <w:t xml:space="preserve">litigation </w:t>
      </w:r>
      <w:r>
        <w:t xml:space="preserve">may be considered ‘material’ if </w:t>
      </w:r>
      <w:r w:rsidRPr="009D2A8A">
        <w:t xml:space="preserve">the </w:t>
      </w:r>
      <w:r>
        <w:t xml:space="preserve">value or </w:t>
      </w:r>
      <w:r w:rsidRPr="009D2A8A">
        <w:t xml:space="preserve">expected impact in terms of value, exceeds the </w:t>
      </w:r>
      <w:r w:rsidR="00F86C8E">
        <w:t>lower</w:t>
      </w:r>
      <w:r w:rsidR="00F86C8E" w:rsidRPr="009D2A8A">
        <w:t xml:space="preserve"> </w:t>
      </w:r>
      <w:r w:rsidRPr="009D2A8A">
        <w:t>of the following</w:t>
      </w:r>
      <w:r>
        <w:t>:</w:t>
      </w:r>
    </w:p>
    <w:p w14:paraId="570D3ECC" w14:textId="1A55DC4B" w:rsidR="00593EE0" w:rsidRPr="009D2A8A" w:rsidRDefault="00593EE0" w:rsidP="00593EE0">
      <w:pPr>
        <w:pStyle w:val="ListParagraph"/>
        <w:numPr>
          <w:ilvl w:val="0"/>
          <w:numId w:val="24"/>
        </w:numPr>
        <w:spacing w:before="0" w:beforeAutospacing="0" w:after="160" w:afterAutospacing="0" w:line="259" w:lineRule="auto"/>
        <w:contextualSpacing/>
        <w:jc w:val="both"/>
      </w:pPr>
      <w:r w:rsidRPr="009D2A8A">
        <w:t>2% of turnover</w:t>
      </w:r>
      <w:r w:rsidR="00874878">
        <w:t>,</w:t>
      </w:r>
      <w:r w:rsidRPr="009D2A8A">
        <w:t xml:space="preserve"> as per </w:t>
      </w:r>
      <w:r w:rsidR="00874878">
        <w:t xml:space="preserve">the latest annual restated </w:t>
      </w:r>
      <w:r w:rsidRPr="009D2A8A">
        <w:t>financial statements</w:t>
      </w:r>
      <w:r w:rsidR="00874878">
        <w:t xml:space="preserve"> of the Company</w:t>
      </w:r>
      <w:r w:rsidRPr="009D2A8A">
        <w:t>;</w:t>
      </w:r>
      <w:r w:rsidR="00874878">
        <w:t xml:space="preserve"> or</w:t>
      </w:r>
    </w:p>
    <w:p w14:paraId="322EF3BF" w14:textId="6AF0E689" w:rsidR="00593EE0" w:rsidRPr="009D2A8A" w:rsidRDefault="00593EE0" w:rsidP="00593EE0">
      <w:pPr>
        <w:pStyle w:val="ListParagraph"/>
        <w:numPr>
          <w:ilvl w:val="0"/>
          <w:numId w:val="24"/>
        </w:numPr>
        <w:spacing w:before="0" w:beforeAutospacing="0" w:after="160" w:afterAutospacing="0" w:line="259" w:lineRule="auto"/>
        <w:contextualSpacing/>
        <w:jc w:val="both"/>
      </w:pPr>
      <w:r w:rsidRPr="009D2A8A">
        <w:t>2% of net worth</w:t>
      </w:r>
      <w:r w:rsidR="00874878">
        <w:t>,</w:t>
      </w:r>
      <w:r w:rsidRPr="009D2A8A">
        <w:t xml:space="preserve"> as per </w:t>
      </w:r>
      <w:r w:rsidR="00874878">
        <w:t xml:space="preserve">the latest annual restated </w:t>
      </w:r>
      <w:r w:rsidRPr="009D2A8A">
        <w:t>financial statements</w:t>
      </w:r>
      <w:r w:rsidR="00874878">
        <w:t xml:space="preserve"> of the Company</w:t>
      </w:r>
      <w:r w:rsidRPr="009D2A8A">
        <w:t xml:space="preserve">, except in case </w:t>
      </w:r>
      <w:r w:rsidR="00874878">
        <w:t xml:space="preserve">the </w:t>
      </w:r>
      <w:r w:rsidRPr="009D2A8A">
        <w:t xml:space="preserve">arithmetic value of </w:t>
      </w:r>
      <w:r w:rsidR="00874878">
        <w:t xml:space="preserve">the </w:t>
      </w:r>
      <w:r w:rsidRPr="009D2A8A">
        <w:t>net worth is negative;</w:t>
      </w:r>
      <w:r>
        <w:t xml:space="preserve"> or</w:t>
      </w:r>
    </w:p>
    <w:p w14:paraId="4E49C5D8" w14:textId="19515BB3" w:rsidR="00593EE0" w:rsidRDefault="00593EE0" w:rsidP="00593EE0">
      <w:pPr>
        <w:pStyle w:val="ListParagraph"/>
        <w:numPr>
          <w:ilvl w:val="0"/>
          <w:numId w:val="24"/>
        </w:numPr>
        <w:spacing w:before="0" w:beforeAutospacing="0" w:after="160" w:afterAutospacing="0" w:line="259" w:lineRule="auto"/>
        <w:contextualSpacing/>
        <w:jc w:val="both"/>
      </w:pPr>
      <w:r w:rsidRPr="009D2A8A">
        <w:t xml:space="preserve">5% of </w:t>
      </w:r>
      <w:r w:rsidR="002D45BD">
        <w:t xml:space="preserve">the </w:t>
      </w:r>
      <w:r w:rsidRPr="009D2A8A">
        <w:t>average of absolute value of profit/ loss after tax</w:t>
      </w:r>
      <w:r w:rsidR="00874878">
        <w:t>,</w:t>
      </w:r>
      <w:r w:rsidRPr="009D2A8A">
        <w:t xml:space="preserve"> as per </w:t>
      </w:r>
      <w:r w:rsidR="00874878">
        <w:t xml:space="preserve">the </w:t>
      </w:r>
      <w:r w:rsidRPr="009D2A8A">
        <w:t xml:space="preserve">last three </w:t>
      </w:r>
      <w:r w:rsidR="00874878">
        <w:t xml:space="preserve">annual restated </w:t>
      </w:r>
      <w:r w:rsidRPr="009D2A8A">
        <w:t>financial statements</w:t>
      </w:r>
      <w:r w:rsidR="00874878">
        <w:t xml:space="preserve"> of the Company</w:t>
      </w:r>
      <w:r>
        <w:t>.</w:t>
      </w:r>
    </w:p>
    <w:p w14:paraId="18F117EF" w14:textId="21C30783" w:rsidR="00A322D9" w:rsidRPr="0099117D" w:rsidRDefault="00A322D9" w:rsidP="00A322D9">
      <w:pPr>
        <w:spacing w:before="100" w:beforeAutospacing="1"/>
        <w:jc w:val="both"/>
        <w:rPr>
          <w:rFonts w:eastAsia="Calibri"/>
          <w:bCs/>
          <w:lang w:val="en-GB"/>
        </w:rPr>
      </w:pPr>
      <w:r w:rsidRPr="00A322D9">
        <w:t xml:space="preserve">For the purposes of disclosing </w:t>
      </w:r>
      <w:r w:rsidR="0092001C">
        <w:t xml:space="preserve">the </w:t>
      </w:r>
      <w:r w:rsidRPr="00A322D9">
        <w:t>material civil litigation</w:t>
      </w:r>
      <w:r w:rsidR="0092001C">
        <w:t xml:space="preserve"> (including arbitration proceedings)</w:t>
      </w:r>
      <w:r w:rsidRPr="00A322D9">
        <w:t xml:space="preserve"> involving the Relevant Parties and as per the above, we propose a monetary threshold of 5 % of the average of absolute value of profit/ loss after tax as per last three </w:t>
      </w:r>
      <w:r w:rsidR="002A5019">
        <w:t xml:space="preserve">annual </w:t>
      </w:r>
      <w:r w:rsidR="0092001C">
        <w:t>restated</w:t>
      </w:r>
      <w:r w:rsidRPr="00A322D9">
        <w:t xml:space="preserve"> financial statements</w:t>
      </w:r>
      <w:r w:rsidR="0092001C">
        <w:t xml:space="preserve"> of the Company</w:t>
      </w:r>
      <w:r w:rsidRPr="00A322D9">
        <w:t xml:space="preserve"> </w:t>
      </w:r>
      <w:r w:rsidRPr="00A322D9">
        <w:rPr>
          <w:u w:val="single"/>
        </w:rPr>
        <w:t>(“</w:t>
      </w:r>
      <w:r w:rsidRPr="00A322D9">
        <w:rPr>
          <w:b/>
          <w:bCs/>
          <w:u w:val="single"/>
        </w:rPr>
        <w:t>Materiality Threshold</w:t>
      </w:r>
      <w:r w:rsidRPr="00A322D9">
        <w:rPr>
          <w:u w:val="single"/>
        </w:rPr>
        <w:t>”).</w:t>
      </w:r>
      <w:r>
        <w:rPr>
          <w:u w:val="single"/>
        </w:rPr>
        <w:t xml:space="preserve"> </w:t>
      </w:r>
    </w:p>
    <w:p w14:paraId="73C6617C" w14:textId="2E6C867D" w:rsidR="00A322D9" w:rsidRDefault="00A322D9" w:rsidP="00A322D9">
      <w:pPr>
        <w:spacing w:before="100" w:beforeAutospacing="1"/>
        <w:jc w:val="both"/>
      </w:pPr>
      <w:r w:rsidRPr="00A322D9">
        <w:t xml:space="preserve">Accordingly, any </w:t>
      </w:r>
      <w:r w:rsidRPr="00A322D9">
        <w:rPr>
          <w:lang w:val="en-GB"/>
        </w:rPr>
        <w:t>pending civil litigations or arbitration proceedings involving the Relevant Parties wherein the amount involved/claimed exceeds the Materiality Threshold, shall be disclosed in the Offer Documents.</w:t>
      </w:r>
    </w:p>
    <w:p w14:paraId="0E6DCC78" w14:textId="7F9C3174" w:rsidR="00500BE9" w:rsidRPr="00500BE9" w:rsidRDefault="00500BE9" w:rsidP="0060760A">
      <w:pPr>
        <w:spacing w:before="100" w:beforeAutospacing="1"/>
        <w:jc w:val="both"/>
      </w:pPr>
      <w:r w:rsidRPr="00500BE9">
        <w:t xml:space="preserve">Further, the following </w:t>
      </w:r>
      <w:r w:rsidR="00564CFD">
        <w:t xml:space="preserve">pending litigation involving the Relevant Parties </w:t>
      </w:r>
      <w:r w:rsidRPr="00500BE9">
        <w:t xml:space="preserve">shall also be considered </w:t>
      </w:r>
      <w:r w:rsidR="00564CFD">
        <w:t xml:space="preserve">as </w:t>
      </w:r>
      <w:r w:rsidRPr="00500BE9">
        <w:t xml:space="preserve">material litigation </w:t>
      </w:r>
      <w:r w:rsidR="00564CFD">
        <w:t>for the purposes of disclosure</w:t>
      </w:r>
      <w:r w:rsidR="00AF31D0">
        <w:t xml:space="preserve"> in the Offer Documents</w:t>
      </w:r>
      <w:r w:rsidRPr="00500BE9">
        <w:t xml:space="preserve">: </w:t>
      </w:r>
    </w:p>
    <w:p w14:paraId="5016EBB7" w14:textId="77777777" w:rsidR="00C10BD6" w:rsidRPr="00C10BD6" w:rsidRDefault="00C10BD6" w:rsidP="0060760A">
      <w:pPr>
        <w:jc w:val="both"/>
        <w:rPr>
          <w:rFonts w:eastAsia="Times New Roman"/>
        </w:rPr>
      </w:pPr>
    </w:p>
    <w:p w14:paraId="34A83952" w14:textId="3854A4DF" w:rsidR="0005013E" w:rsidRDefault="005C3552" w:rsidP="00E04C77">
      <w:pPr>
        <w:pStyle w:val="ListParagraph"/>
        <w:numPr>
          <w:ilvl w:val="0"/>
          <w:numId w:val="12"/>
        </w:numPr>
        <w:tabs>
          <w:tab w:val="clear" w:pos="720"/>
        </w:tabs>
        <w:spacing w:before="0" w:beforeAutospacing="0" w:after="0" w:afterAutospacing="0"/>
        <w:ind w:left="425" w:hanging="426"/>
        <w:jc w:val="both"/>
      </w:pPr>
      <w:r>
        <w:rPr>
          <w:rFonts w:eastAsia="Times New Roman"/>
        </w:rPr>
        <w:t>All outstanding l</w:t>
      </w:r>
      <w:r w:rsidR="00A85728" w:rsidRPr="008E7AC0">
        <w:rPr>
          <w:rFonts w:eastAsia="Times New Roman"/>
        </w:rPr>
        <w:t>itigations where the decision in one litigation is likely to affect the decision in similar litigations</w:t>
      </w:r>
      <w:r w:rsidR="003E4E4A">
        <w:rPr>
          <w:rFonts w:eastAsia="Times New Roman"/>
        </w:rPr>
        <w:t xml:space="preserve"> </w:t>
      </w:r>
      <w:r w:rsidR="007B7FB0" w:rsidRPr="007B7FB0">
        <w:rPr>
          <w:rFonts w:eastAsia="Times New Roman"/>
        </w:rPr>
        <w:t>and the cumulative amount involved in all such litigations exceeds the Materiality Threshold, even though the amount involved in an individual litigation may not exceed the Materiality Threshold</w:t>
      </w:r>
      <w:r w:rsidR="00953AE8">
        <w:rPr>
          <w:rFonts w:eastAsia="Times New Roman"/>
        </w:rPr>
        <w:t>.</w:t>
      </w:r>
    </w:p>
    <w:p w14:paraId="0CCB4829" w14:textId="77777777" w:rsidR="0005013E" w:rsidRDefault="0005013E" w:rsidP="00E04C77">
      <w:pPr>
        <w:pStyle w:val="ListParagraph"/>
        <w:spacing w:before="0" w:beforeAutospacing="0" w:after="0" w:afterAutospacing="0"/>
        <w:ind w:left="426"/>
        <w:jc w:val="both"/>
      </w:pPr>
    </w:p>
    <w:p w14:paraId="7442D0D1" w14:textId="7CE44C97" w:rsidR="00C44A25" w:rsidRPr="00C44A25" w:rsidRDefault="004F1FAD" w:rsidP="00E04C77">
      <w:pPr>
        <w:pStyle w:val="ListParagraph"/>
        <w:numPr>
          <w:ilvl w:val="0"/>
          <w:numId w:val="12"/>
        </w:numPr>
        <w:tabs>
          <w:tab w:val="clear" w:pos="720"/>
        </w:tabs>
        <w:spacing w:before="0" w:beforeAutospacing="0"/>
        <w:ind w:left="426" w:hanging="426"/>
        <w:jc w:val="both"/>
        <w:rPr>
          <w:i/>
          <w:iCs/>
        </w:rPr>
      </w:pPr>
      <w:r w:rsidRPr="0005013E">
        <w:t xml:space="preserve">All outstanding litigation which may not meet the Materiality Threshold </w:t>
      </w:r>
      <w:r w:rsidRPr="0005013E">
        <w:rPr>
          <w:iCs/>
          <w:lang w:val="en-GB"/>
        </w:rPr>
        <w:t>or where the aggregate monetary amount of claim/dispute amount/liability involved is</w:t>
      </w:r>
      <w:r w:rsidRPr="0005013E">
        <w:rPr>
          <w:i/>
          <w:lang w:val="en-GB"/>
        </w:rPr>
        <w:t xml:space="preserve"> </w:t>
      </w:r>
      <w:r w:rsidRPr="0005013E">
        <w:t xml:space="preserve">not quantifiable, but where an adverse outcome would materially and adversely affect the business, </w:t>
      </w:r>
      <w:r w:rsidR="00564CFD" w:rsidRPr="0005013E">
        <w:t>operations,</w:t>
      </w:r>
      <w:r w:rsidR="005C3552">
        <w:t xml:space="preserve"> performance,</w:t>
      </w:r>
      <w:r w:rsidR="00564CFD" w:rsidRPr="0005013E">
        <w:t xml:space="preserve"> </w:t>
      </w:r>
      <w:r w:rsidR="0005013E" w:rsidRPr="0005013E">
        <w:t xml:space="preserve">cash flows, </w:t>
      </w:r>
      <w:r w:rsidRPr="0005013E">
        <w:t xml:space="preserve">financial </w:t>
      </w:r>
      <w:r w:rsidR="0005013E" w:rsidRPr="0005013E">
        <w:t>position</w:t>
      </w:r>
      <w:r w:rsidRPr="0005013E">
        <w:t>, prospect</w:t>
      </w:r>
      <w:r w:rsidR="0005013E" w:rsidRPr="0005013E">
        <w:t>s</w:t>
      </w:r>
      <w:r w:rsidR="00564CFD" w:rsidRPr="0005013E">
        <w:t xml:space="preserve"> or </w:t>
      </w:r>
      <w:r w:rsidRPr="0005013E">
        <w:t>reputation</w:t>
      </w:r>
      <w:r w:rsidR="00564CFD" w:rsidRPr="0005013E">
        <w:t xml:space="preserve"> </w:t>
      </w:r>
      <w:r w:rsidRPr="0005013E">
        <w:t>of the Company.</w:t>
      </w:r>
    </w:p>
    <w:p w14:paraId="38D1A667" w14:textId="4890C0D7" w:rsidR="003732EF" w:rsidRPr="00487BF1" w:rsidRDefault="003732EF" w:rsidP="002F4226">
      <w:pPr>
        <w:pStyle w:val="ListParagraph"/>
        <w:keepNext/>
        <w:numPr>
          <w:ilvl w:val="0"/>
          <w:numId w:val="2"/>
        </w:numPr>
        <w:tabs>
          <w:tab w:val="clear" w:pos="720"/>
        </w:tabs>
        <w:spacing w:before="0" w:beforeAutospacing="0" w:after="0" w:afterAutospacing="0"/>
        <w:ind w:left="0" w:hanging="284"/>
        <w:jc w:val="both"/>
        <w:rPr>
          <w:rFonts w:eastAsia="Times New Roman"/>
          <w:i/>
          <w:iCs/>
        </w:rPr>
      </w:pPr>
      <w:r w:rsidRPr="00487BF1">
        <w:rPr>
          <w:rFonts w:eastAsia="Times New Roman"/>
          <w:b/>
          <w:bCs/>
          <w:i/>
          <w:iCs/>
          <w:u w:val="single"/>
        </w:rPr>
        <w:t>Other Legal Proceedings</w:t>
      </w:r>
      <w:r w:rsidR="00487BF1">
        <w:rPr>
          <w:rFonts w:eastAsia="Times New Roman"/>
          <w:b/>
          <w:bCs/>
          <w:i/>
          <w:iCs/>
          <w:u w:val="single"/>
        </w:rPr>
        <w:t>:</w:t>
      </w:r>
    </w:p>
    <w:p w14:paraId="5075293D" w14:textId="77777777" w:rsidR="005B7E9B" w:rsidRDefault="005B7E9B" w:rsidP="005B7E9B">
      <w:pPr>
        <w:jc w:val="both"/>
      </w:pPr>
    </w:p>
    <w:p w14:paraId="69E18182" w14:textId="7FA21A91" w:rsidR="005B7E9B" w:rsidRDefault="005B7E9B" w:rsidP="007F7413">
      <w:pPr>
        <w:jc w:val="both"/>
      </w:pPr>
      <w:r>
        <w:lastRenderedPageBreak/>
        <w:t>In addition to the material civil litigation involving the Relevant Parties, the following will also be disclosed in the Offer Documents:</w:t>
      </w:r>
    </w:p>
    <w:p w14:paraId="5B313D91" w14:textId="77777777" w:rsidR="00361F86" w:rsidRDefault="00361F86" w:rsidP="007F7413">
      <w:pPr>
        <w:jc w:val="both"/>
      </w:pPr>
    </w:p>
    <w:p w14:paraId="6DBAEF4E" w14:textId="77777777" w:rsidR="00361F86" w:rsidRPr="00361F86" w:rsidRDefault="00361F86" w:rsidP="00361F86">
      <w:pPr>
        <w:numPr>
          <w:ilvl w:val="0"/>
          <w:numId w:val="26"/>
        </w:numPr>
        <w:jc w:val="both"/>
        <w:rPr>
          <w:lang w:val="en-GB"/>
        </w:rPr>
      </w:pPr>
      <w:r w:rsidRPr="00361F86">
        <w:rPr>
          <w:lang w:val="en-GB"/>
        </w:rPr>
        <w:t xml:space="preserve">all outstanding criminal proceedings involving the Relevant Parties, key managerial personnel and senior management of the Company (including matters which are at FIR stage even if no cognizance has been taken by any court); </w:t>
      </w:r>
    </w:p>
    <w:p w14:paraId="377B6412" w14:textId="5888C417" w:rsidR="00361F86" w:rsidRPr="00361F86" w:rsidRDefault="00361F86" w:rsidP="00361F86">
      <w:pPr>
        <w:numPr>
          <w:ilvl w:val="0"/>
          <w:numId w:val="26"/>
        </w:numPr>
        <w:jc w:val="both"/>
        <w:rPr>
          <w:lang w:val="en-GB"/>
        </w:rPr>
      </w:pPr>
      <w:r w:rsidRPr="00361F86">
        <w:rPr>
          <w:lang w:val="en-GB"/>
        </w:rPr>
        <w:t xml:space="preserve">all outstanding actions (including all outstanding penalties and show cause notices) by regulatory authorities and statutory authorities involving the Relevant Parties, key managerial personnel and senior management of the Company; </w:t>
      </w:r>
    </w:p>
    <w:p w14:paraId="13BACD33" w14:textId="77777777" w:rsidR="00361F86" w:rsidRPr="00361F86" w:rsidRDefault="00361F86" w:rsidP="00361F86">
      <w:pPr>
        <w:numPr>
          <w:ilvl w:val="0"/>
          <w:numId w:val="26"/>
        </w:numPr>
        <w:jc w:val="both"/>
        <w:rPr>
          <w:lang w:val="en-GB"/>
        </w:rPr>
      </w:pPr>
      <w:r w:rsidRPr="00361F86">
        <w:rPr>
          <w:bCs/>
          <w:lang w:val="en-GB"/>
        </w:rPr>
        <w:t>disciplinary actions including any penalty imposed by SEBI or stock exchanges against the Promoters in the last five financial years including outstanding actions;</w:t>
      </w:r>
    </w:p>
    <w:p w14:paraId="4E52DACC" w14:textId="7006E491" w:rsidR="00D12F2A" w:rsidRDefault="00361F86" w:rsidP="00361F86">
      <w:pPr>
        <w:numPr>
          <w:ilvl w:val="0"/>
          <w:numId w:val="26"/>
        </w:numPr>
        <w:jc w:val="both"/>
        <w:rPr>
          <w:lang w:val="en-GB"/>
        </w:rPr>
      </w:pPr>
      <w:r w:rsidRPr="00361F86">
        <w:rPr>
          <w:lang w:val="en-GB"/>
        </w:rPr>
        <w:t xml:space="preserve">outstanding claims related to direct and indirect tax matters in a consolidated manner; giving the number of cases and total amount, involving the Relevant Parties will be disclosed in the </w:t>
      </w:r>
      <w:r w:rsidR="008B3416">
        <w:rPr>
          <w:lang w:val="en-GB"/>
        </w:rPr>
        <w:t>O</w:t>
      </w:r>
      <w:r w:rsidRPr="00361F86">
        <w:rPr>
          <w:lang w:val="en-GB"/>
        </w:rPr>
        <w:t xml:space="preserve">ffer </w:t>
      </w:r>
      <w:r w:rsidR="008B3416">
        <w:rPr>
          <w:lang w:val="en-GB"/>
        </w:rPr>
        <w:t>D</w:t>
      </w:r>
      <w:r w:rsidRPr="00361F86">
        <w:rPr>
          <w:lang w:val="en-GB"/>
        </w:rPr>
        <w:t xml:space="preserve">ocuments; </w:t>
      </w:r>
    </w:p>
    <w:p w14:paraId="005EDC06" w14:textId="537B8669" w:rsidR="00361F86" w:rsidRPr="00D12F2A" w:rsidRDefault="00D12F2A" w:rsidP="008D1F06">
      <w:pPr>
        <w:numPr>
          <w:ilvl w:val="0"/>
          <w:numId w:val="26"/>
        </w:numPr>
        <w:jc w:val="both"/>
        <w:rPr>
          <w:lang w:val="en-GB"/>
        </w:rPr>
      </w:pPr>
      <w:r w:rsidRPr="00D12F2A">
        <w:rPr>
          <w:lang w:val="en-GB"/>
        </w:rPr>
        <w:t xml:space="preserve">other pending litigations or arbitration proceedings involving Relevant Parties as </w:t>
      </w:r>
      <w:r>
        <w:rPr>
          <w:lang w:val="en-GB"/>
        </w:rPr>
        <w:t xml:space="preserve">determined to be material </w:t>
      </w:r>
      <w:r w:rsidRPr="00D12F2A">
        <w:rPr>
          <w:lang w:val="en-GB"/>
        </w:rPr>
        <w:t xml:space="preserve">per the </w:t>
      </w:r>
      <w:r w:rsidR="004345E8">
        <w:rPr>
          <w:lang w:val="en-GB"/>
        </w:rPr>
        <w:t>m</w:t>
      </w:r>
      <w:r w:rsidRPr="00D12F2A">
        <w:rPr>
          <w:lang w:val="en-GB"/>
        </w:rPr>
        <w:t>ateriality Policy defined by the Board and disclosed in the Offer Documents</w:t>
      </w:r>
      <w:r>
        <w:rPr>
          <w:lang w:val="en-GB"/>
        </w:rPr>
        <w:t xml:space="preserve">; </w:t>
      </w:r>
      <w:r w:rsidR="00361F86" w:rsidRPr="00D12F2A">
        <w:rPr>
          <w:lang w:val="en-GB"/>
        </w:rPr>
        <w:t>and</w:t>
      </w:r>
    </w:p>
    <w:p w14:paraId="522B7206" w14:textId="07ABA68B" w:rsidR="00361F86" w:rsidRPr="00361F86" w:rsidRDefault="00361F86" w:rsidP="00361F86">
      <w:pPr>
        <w:numPr>
          <w:ilvl w:val="0"/>
          <w:numId w:val="26"/>
        </w:numPr>
        <w:jc w:val="both"/>
        <w:rPr>
          <w:lang w:val="en-GB"/>
        </w:rPr>
      </w:pPr>
      <w:r w:rsidRPr="00361F86">
        <w:rPr>
          <w:lang w:val="en-GB"/>
        </w:rPr>
        <w:t xml:space="preserve">any pending litigation involving the group companies which has a material impact on the Company. </w:t>
      </w:r>
      <w:r w:rsidRPr="00361F86">
        <w:t xml:space="preserve">Any pending litigation involving the group companies (as identified below) would be considered to have a ‘material impact’ on the Company for the purpose of disclosure in the Offer Documents, if an adverse outcome from such pending litigation would materially and adversely affect the </w:t>
      </w:r>
      <w:r w:rsidRPr="00361F86">
        <w:rPr>
          <w:lang w:val="en-US"/>
        </w:rPr>
        <w:t xml:space="preserve">business, prospects, operations, performance, </w:t>
      </w:r>
      <w:r w:rsidR="005C3552">
        <w:rPr>
          <w:lang w:val="en-US"/>
        </w:rPr>
        <w:t xml:space="preserve">cash flows, </w:t>
      </w:r>
      <w:r w:rsidRPr="00361F86">
        <w:rPr>
          <w:lang w:val="en-US"/>
        </w:rPr>
        <w:t xml:space="preserve">financial position or reputation </w:t>
      </w:r>
      <w:r w:rsidRPr="00361F86">
        <w:t>of the Company</w:t>
      </w:r>
      <w:r w:rsidRPr="00361F86">
        <w:rPr>
          <w:lang w:val="en-GB"/>
        </w:rPr>
        <w:t>.</w:t>
      </w:r>
    </w:p>
    <w:p w14:paraId="1125EE17" w14:textId="4B8F49E3" w:rsidR="00656ADD" w:rsidRPr="00656ADD" w:rsidRDefault="003732EF" w:rsidP="00656ADD">
      <w:pPr>
        <w:spacing w:beforeAutospacing="1" w:afterAutospacing="1"/>
        <w:jc w:val="both"/>
        <w:rPr>
          <w:i/>
          <w:iCs/>
          <w:lang w:val="en-GB"/>
        </w:rPr>
      </w:pPr>
      <w:r w:rsidRPr="007F7413">
        <w:rPr>
          <w:lang w:val="en-GB"/>
        </w:rPr>
        <w:t>In the event any tax matter involve</w:t>
      </w:r>
      <w:r w:rsidR="00C05BA8">
        <w:rPr>
          <w:lang w:val="en-GB"/>
        </w:rPr>
        <w:t>s</w:t>
      </w:r>
      <w:r w:rsidRPr="007F7413">
        <w:rPr>
          <w:lang w:val="en-GB"/>
        </w:rPr>
        <w:t xml:space="preserve"> an amount exceeding the </w:t>
      </w:r>
      <w:r w:rsidR="00EE6A54">
        <w:rPr>
          <w:lang w:val="en-GB"/>
        </w:rPr>
        <w:t>Materiality T</w:t>
      </w:r>
      <w:r w:rsidRPr="007F7413">
        <w:rPr>
          <w:lang w:val="en-GB"/>
        </w:rPr>
        <w:t xml:space="preserve">hreshold </w:t>
      </w:r>
      <w:r w:rsidR="008B3416" w:rsidRPr="008B3416">
        <w:rPr>
          <w:lang w:val="en-GB"/>
        </w:rPr>
        <w:t>proposed above for each Relevant Party</w:t>
      </w:r>
      <w:r w:rsidRPr="007F7413">
        <w:rPr>
          <w:lang w:val="en-GB"/>
        </w:rPr>
        <w:t>, individual disclosures of such tax matters will be included</w:t>
      </w:r>
      <w:r w:rsidR="008B3416">
        <w:rPr>
          <w:lang w:val="en-GB"/>
        </w:rPr>
        <w:t xml:space="preserve"> in the Offer Documents</w:t>
      </w:r>
      <w:r w:rsidRPr="007F7413">
        <w:rPr>
          <w:lang w:val="en-GB"/>
        </w:rPr>
        <w:t xml:space="preserve">. </w:t>
      </w:r>
      <w:r w:rsidR="007F7413">
        <w:rPr>
          <w:lang w:val="en-GB"/>
        </w:rPr>
        <w:t xml:space="preserve"> </w:t>
      </w:r>
    </w:p>
    <w:p w14:paraId="502B46B1" w14:textId="2D222BFD" w:rsidR="008D1F06" w:rsidRDefault="008D1F06" w:rsidP="00656ADD">
      <w:pPr>
        <w:jc w:val="both"/>
        <w:rPr>
          <w:lang w:val="en-GB"/>
        </w:rPr>
      </w:pPr>
      <w:r w:rsidRPr="00CF48F0">
        <w:rPr>
          <w:lang w:val="en-GB"/>
        </w:rPr>
        <w:t xml:space="preserve">For the above purposes, pre-litigation notices received by the Relevant Parties, </w:t>
      </w:r>
      <w:r>
        <w:rPr>
          <w:lang w:val="en-GB"/>
        </w:rPr>
        <w:t>k</w:t>
      </w:r>
      <w:r w:rsidRPr="00CF48F0">
        <w:rPr>
          <w:lang w:val="en-GB"/>
        </w:rPr>
        <w:t xml:space="preserve">ey </w:t>
      </w:r>
      <w:r>
        <w:rPr>
          <w:lang w:val="en-GB"/>
        </w:rPr>
        <w:t>m</w:t>
      </w:r>
      <w:r w:rsidRPr="00CF48F0">
        <w:rPr>
          <w:lang w:val="en-GB"/>
        </w:rPr>
        <w:t xml:space="preserve">anagerial </w:t>
      </w:r>
      <w:r>
        <w:rPr>
          <w:lang w:val="en-GB"/>
        </w:rPr>
        <w:t>p</w:t>
      </w:r>
      <w:r w:rsidRPr="00CF48F0">
        <w:rPr>
          <w:lang w:val="en-GB"/>
        </w:rPr>
        <w:t xml:space="preserve">ersonnel and the </w:t>
      </w:r>
      <w:r>
        <w:rPr>
          <w:lang w:val="en-GB"/>
        </w:rPr>
        <w:t>senior management of the Company</w:t>
      </w:r>
      <w:r w:rsidRPr="00CF48F0">
        <w:rPr>
          <w:lang w:val="en-GB"/>
        </w:rPr>
        <w:t xml:space="preserve"> (excluding </w:t>
      </w:r>
      <w:r w:rsidR="005C3552" w:rsidRPr="00B94338">
        <w:rPr>
          <w:lang w:val="en-GB"/>
        </w:rPr>
        <w:t>those notices issued by governmental, statutory, judicial, quasi-judicial or regulatory authorities or notices threatening criminal</w:t>
      </w:r>
      <w:r w:rsidR="005C3552">
        <w:rPr>
          <w:lang w:val="en-GB"/>
        </w:rPr>
        <w:t xml:space="preserve"> </w:t>
      </w:r>
      <w:r w:rsidR="005C3552" w:rsidRPr="00CF48F0">
        <w:rPr>
          <w:lang w:val="en-GB"/>
        </w:rPr>
        <w:t>actions</w:t>
      </w:r>
      <w:r w:rsidR="00030D1E">
        <w:rPr>
          <w:lang w:val="en-GB"/>
        </w:rPr>
        <w:t xml:space="preserve">) </w:t>
      </w:r>
      <w:r w:rsidR="005C3552" w:rsidRPr="00B94338">
        <w:rPr>
          <w:lang w:val="en-GB"/>
        </w:rPr>
        <w:t xml:space="preserve">shall not, unless otherwise decided by the </w:t>
      </w:r>
      <w:r w:rsidR="005C3552" w:rsidRPr="00180066">
        <w:rPr>
          <w:lang w:val="en-GB"/>
        </w:rPr>
        <w:t>B</w:t>
      </w:r>
      <w:r w:rsidR="005C3552" w:rsidRPr="00B94338">
        <w:rPr>
          <w:lang w:val="en-GB"/>
        </w:rPr>
        <w:t>oard</w:t>
      </w:r>
      <w:r w:rsidRPr="00CF48F0">
        <w:rPr>
          <w:lang w:val="en-GB"/>
        </w:rPr>
        <w:t>, have not been considered as litigation until such time that any of the Relevant Parties</w:t>
      </w:r>
      <w:r>
        <w:rPr>
          <w:lang w:val="en-GB"/>
        </w:rPr>
        <w:t>,</w:t>
      </w:r>
      <w:r w:rsidRPr="008D1F06">
        <w:rPr>
          <w:lang w:val="en-GB"/>
        </w:rPr>
        <w:t xml:space="preserve"> </w:t>
      </w:r>
      <w:r>
        <w:rPr>
          <w:lang w:val="en-GB"/>
        </w:rPr>
        <w:t>k</w:t>
      </w:r>
      <w:r w:rsidRPr="00CF48F0">
        <w:rPr>
          <w:lang w:val="en-GB"/>
        </w:rPr>
        <w:t xml:space="preserve">ey </w:t>
      </w:r>
      <w:r>
        <w:rPr>
          <w:lang w:val="en-GB"/>
        </w:rPr>
        <w:t>m</w:t>
      </w:r>
      <w:r w:rsidRPr="00CF48F0">
        <w:rPr>
          <w:lang w:val="en-GB"/>
        </w:rPr>
        <w:t xml:space="preserve">anagerial </w:t>
      </w:r>
      <w:r>
        <w:rPr>
          <w:lang w:val="en-GB"/>
        </w:rPr>
        <w:t>p</w:t>
      </w:r>
      <w:r w:rsidRPr="00CF48F0">
        <w:rPr>
          <w:lang w:val="en-GB"/>
        </w:rPr>
        <w:t xml:space="preserve">ersonnel or the </w:t>
      </w:r>
      <w:r>
        <w:rPr>
          <w:lang w:val="en-GB"/>
        </w:rPr>
        <w:t>senior management of the Company, as the case may be,</w:t>
      </w:r>
      <w:r w:rsidRPr="00CF48F0">
        <w:rPr>
          <w:lang w:val="en-GB"/>
        </w:rPr>
        <w:t xml:space="preserve"> are impleaded as a defendant in the litigation proceedings before any judicial forum or arbitral forum</w:t>
      </w:r>
      <w:r w:rsidR="0063411F">
        <w:rPr>
          <w:lang w:val="en-GB"/>
        </w:rPr>
        <w:t xml:space="preserve"> </w:t>
      </w:r>
      <w:r w:rsidR="0063411F" w:rsidRPr="00180066">
        <w:rPr>
          <w:lang w:val="en-GB"/>
        </w:rPr>
        <w:t>or tribunal or governmental authority</w:t>
      </w:r>
      <w:r w:rsidR="0063411F">
        <w:rPr>
          <w:lang w:val="en-GB"/>
        </w:rPr>
        <w:t xml:space="preserve">. </w:t>
      </w:r>
    </w:p>
    <w:p w14:paraId="10503EB5" w14:textId="77777777" w:rsidR="008D1F06" w:rsidRDefault="008D1F06" w:rsidP="00656ADD">
      <w:pPr>
        <w:jc w:val="both"/>
        <w:rPr>
          <w:lang w:val="en-GB"/>
        </w:rPr>
      </w:pPr>
    </w:p>
    <w:p w14:paraId="5D9BDC58" w14:textId="5E9FED04" w:rsidR="00656ADD" w:rsidRPr="00E04C77" w:rsidRDefault="00656ADD" w:rsidP="00656ADD">
      <w:pPr>
        <w:jc w:val="both"/>
        <w:rPr>
          <w:lang w:val="en-GB"/>
        </w:rPr>
      </w:pPr>
      <w:r w:rsidRPr="00E04C77">
        <w:rPr>
          <w:lang w:val="en-GB"/>
        </w:rPr>
        <w:t xml:space="preserve">For the purposes of (b) above, notices issued by statutory or regulatory authorities received by the Relevant Parties, </w:t>
      </w:r>
      <w:r>
        <w:rPr>
          <w:lang w:val="en-GB"/>
        </w:rPr>
        <w:t>k</w:t>
      </w:r>
      <w:r w:rsidRPr="00E04C77">
        <w:rPr>
          <w:lang w:val="en-GB"/>
        </w:rPr>
        <w:t xml:space="preserve">ey </w:t>
      </w:r>
      <w:r>
        <w:rPr>
          <w:lang w:val="en-GB"/>
        </w:rPr>
        <w:t>m</w:t>
      </w:r>
      <w:r w:rsidRPr="00E04C77">
        <w:rPr>
          <w:lang w:val="en-GB"/>
        </w:rPr>
        <w:t xml:space="preserve">anagerial </w:t>
      </w:r>
      <w:r>
        <w:rPr>
          <w:lang w:val="en-GB"/>
        </w:rPr>
        <w:t>p</w:t>
      </w:r>
      <w:r w:rsidRPr="00E04C77">
        <w:rPr>
          <w:lang w:val="en-GB"/>
        </w:rPr>
        <w:t xml:space="preserve">ersonnel or the </w:t>
      </w:r>
      <w:r>
        <w:rPr>
          <w:lang w:val="en-GB"/>
        </w:rPr>
        <w:t>senior management of the Company</w:t>
      </w:r>
      <w:r w:rsidRPr="00E04C77">
        <w:rPr>
          <w:lang w:val="en-GB"/>
        </w:rPr>
        <w:t xml:space="preserve"> which </w:t>
      </w:r>
      <w:r w:rsidR="00D16E43">
        <w:rPr>
          <w:lang w:val="en-GB"/>
        </w:rPr>
        <w:t>are correspondences</w:t>
      </w:r>
      <w:r w:rsidR="00D16E43" w:rsidRPr="00D16E43">
        <w:t xml:space="preserve"> in the ordinary course of business</w:t>
      </w:r>
      <w:r w:rsidR="00D16E43" w:rsidRPr="00D16E43" w:rsidDel="00D16E43">
        <w:rPr>
          <w:lang w:val="en-GB"/>
        </w:rPr>
        <w:t xml:space="preserve"> </w:t>
      </w:r>
      <w:r w:rsidRPr="00E04C77">
        <w:rPr>
          <w:lang w:val="en-GB"/>
        </w:rPr>
        <w:t>have not been considered for litigation. For the purposes of (</w:t>
      </w:r>
      <w:r w:rsidR="008D1F06">
        <w:rPr>
          <w:lang w:val="en-GB"/>
        </w:rPr>
        <w:t>d</w:t>
      </w:r>
      <w:r w:rsidRPr="00E04C77">
        <w:rPr>
          <w:lang w:val="en-GB"/>
        </w:rPr>
        <w:t xml:space="preserve">) above, show cause notices, demand notices and any claims received in writing by the Relevant Parties have been considered </w:t>
      </w:r>
      <w:r w:rsidR="00D16E43">
        <w:rPr>
          <w:lang w:val="en-GB"/>
        </w:rPr>
        <w:t xml:space="preserve">for disclosure </w:t>
      </w:r>
      <w:r w:rsidRPr="00E04C77">
        <w:rPr>
          <w:lang w:val="en-GB"/>
        </w:rPr>
        <w:t>and requests for information or clarifications, if any, received without any claim amount have not been considered for litigation.</w:t>
      </w:r>
    </w:p>
    <w:p w14:paraId="4A471FAE" w14:textId="77777777" w:rsidR="003B60C0" w:rsidRDefault="003B60C0" w:rsidP="00E30F01">
      <w:pPr>
        <w:jc w:val="both"/>
        <w:rPr>
          <w:i/>
          <w:iCs/>
          <w:lang w:val="en-GB"/>
        </w:rPr>
      </w:pPr>
    </w:p>
    <w:p w14:paraId="32076C52" w14:textId="52040082" w:rsidR="003B60C0" w:rsidRPr="003B60C0" w:rsidRDefault="003B60C0" w:rsidP="00E30F01">
      <w:pPr>
        <w:jc w:val="both"/>
        <w:rPr>
          <w:rFonts w:eastAsia="Times New Roman"/>
        </w:rPr>
      </w:pPr>
    </w:p>
    <w:p w14:paraId="3E01EF0A" w14:textId="4506883B" w:rsidR="006D498B" w:rsidRPr="003B42B8" w:rsidRDefault="006D498B" w:rsidP="002F4226">
      <w:pPr>
        <w:pStyle w:val="ListParagraph"/>
        <w:numPr>
          <w:ilvl w:val="0"/>
          <w:numId w:val="1"/>
        </w:numPr>
        <w:tabs>
          <w:tab w:val="clear" w:pos="720"/>
        </w:tabs>
        <w:ind w:left="0" w:hanging="426"/>
        <w:jc w:val="both"/>
        <w:rPr>
          <w:rFonts w:eastAsia="Times New Roman"/>
        </w:rPr>
      </w:pPr>
      <w:r w:rsidRPr="003B42B8">
        <w:rPr>
          <w:rFonts w:eastAsia="Times New Roman"/>
          <w:b/>
          <w:bCs/>
          <w:u w:val="single"/>
        </w:rPr>
        <w:t>Material dues owed to creditors</w:t>
      </w:r>
    </w:p>
    <w:p w14:paraId="64D59288" w14:textId="77777777" w:rsidR="0094670E" w:rsidRDefault="0094670E" w:rsidP="0094670E">
      <w:pPr>
        <w:shd w:val="clear" w:color="auto" w:fill="FFFFFF"/>
        <w:ind w:left="142"/>
        <w:jc w:val="both"/>
      </w:pPr>
      <w:r>
        <w:rPr>
          <w:rFonts w:eastAsia="Times New Roman"/>
        </w:rPr>
        <w:t xml:space="preserve">As per the requirements of the SEBI ICDR Regulations, the </w:t>
      </w:r>
      <w:r>
        <w:rPr>
          <w:lang w:val="en-US"/>
        </w:rPr>
        <w:t>Company</w:t>
      </w:r>
      <w:r>
        <w:rPr>
          <w:rFonts w:eastAsia="Times New Roman"/>
        </w:rPr>
        <w:t xml:space="preserve"> shall make relevant disclosures in the Offer Documents and on its website for </w:t>
      </w:r>
      <w:r>
        <w:t>outstanding dues/</w:t>
      </w:r>
      <w:proofErr w:type="spellStart"/>
      <w:r>
        <w:t>overdues</w:t>
      </w:r>
      <w:proofErr w:type="spellEnd"/>
      <w:r>
        <w:t xml:space="preserve"> to creditors as follows:</w:t>
      </w:r>
    </w:p>
    <w:p w14:paraId="5EF5EFE8" w14:textId="3FF1E188" w:rsidR="0094670E" w:rsidRDefault="0094670E" w:rsidP="00E04C77">
      <w:pPr>
        <w:pStyle w:val="ListParagraph"/>
        <w:numPr>
          <w:ilvl w:val="0"/>
          <w:numId w:val="27"/>
        </w:numPr>
        <w:tabs>
          <w:tab w:val="left" w:pos="567"/>
        </w:tabs>
        <w:autoSpaceDE w:val="0"/>
        <w:autoSpaceDN w:val="0"/>
        <w:adjustRightInd w:val="0"/>
        <w:spacing w:after="0" w:afterAutospacing="0"/>
        <w:jc w:val="both"/>
      </w:pPr>
      <w:r>
        <w:t xml:space="preserve">Based on the policy on materiality defined by the </w:t>
      </w:r>
      <w:r w:rsidR="0063411F">
        <w:t>Board</w:t>
      </w:r>
      <w:r>
        <w:t xml:space="preserve">, details of the material creditors which include the consolidated number of creditors and the aggregate amount involved; </w:t>
      </w:r>
    </w:p>
    <w:p w14:paraId="02B5E1AB" w14:textId="77777777" w:rsidR="0094670E" w:rsidRDefault="0094670E" w:rsidP="00E04C77">
      <w:pPr>
        <w:pStyle w:val="ListParagraph"/>
        <w:tabs>
          <w:tab w:val="left" w:pos="567"/>
        </w:tabs>
        <w:autoSpaceDE w:val="0"/>
        <w:autoSpaceDN w:val="0"/>
        <w:adjustRightInd w:val="0"/>
        <w:spacing w:before="0" w:beforeAutospacing="0" w:after="0" w:afterAutospacing="0"/>
        <w:ind w:left="1080"/>
        <w:jc w:val="both"/>
      </w:pPr>
    </w:p>
    <w:p w14:paraId="002579D2" w14:textId="77777777" w:rsidR="0094670E" w:rsidRDefault="0094670E" w:rsidP="00E04C77">
      <w:pPr>
        <w:pStyle w:val="ListParagraph"/>
        <w:numPr>
          <w:ilvl w:val="0"/>
          <w:numId w:val="27"/>
        </w:numPr>
        <w:tabs>
          <w:tab w:val="left" w:pos="567"/>
        </w:tabs>
        <w:autoSpaceDE w:val="0"/>
        <w:autoSpaceDN w:val="0"/>
        <w:adjustRightInd w:val="0"/>
        <w:spacing w:before="0" w:beforeAutospacing="0" w:after="0" w:afterAutospacing="0"/>
        <w:jc w:val="both"/>
      </w:pPr>
      <w:r>
        <w:lastRenderedPageBreak/>
        <w:t>consolidated information on outstanding dues to micro, small and medium enterprises (“</w:t>
      </w:r>
      <w:r w:rsidRPr="0094670E">
        <w:rPr>
          <w:b/>
          <w:bCs/>
        </w:rPr>
        <w:t>MSME</w:t>
      </w:r>
      <w:r>
        <w:t>”) and other creditors, separately giving details of number of creditors and aggregate amount involved; and</w:t>
      </w:r>
    </w:p>
    <w:p w14:paraId="2CCE61C7" w14:textId="77777777" w:rsidR="0094670E" w:rsidRDefault="0094670E" w:rsidP="00E04C77">
      <w:pPr>
        <w:pStyle w:val="ListParagraph"/>
        <w:tabs>
          <w:tab w:val="left" w:pos="567"/>
        </w:tabs>
        <w:autoSpaceDE w:val="0"/>
        <w:autoSpaceDN w:val="0"/>
        <w:adjustRightInd w:val="0"/>
        <w:spacing w:before="0" w:beforeAutospacing="0" w:after="0" w:afterAutospacing="0"/>
        <w:ind w:left="1080"/>
        <w:jc w:val="both"/>
      </w:pPr>
    </w:p>
    <w:p w14:paraId="6B5573DB" w14:textId="49F73C3A" w:rsidR="0094670E" w:rsidRDefault="0094670E" w:rsidP="00E04C77">
      <w:pPr>
        <w:pStyle w:val="ListParagraph"/>
        <w:numPr>
          <w:ilvl w:val="0"/>
          <w:numId w:val="27"/>
        </w:numPr>
        <w:tabs>
          <w:tab w:val="left" w:pos="567"/>
        </w:tabs>
        <w:autoSpaceDE w:val="0"/>
        <w:autoSpaceDN w:val="0"/>
        <w:adjustRightInd w:val="0"/>
        <w:spacing w:before="0" w:beforeAutospacing="0" w:after="0" w:afterAutospacing="0"/>
        <w:jc w:val="both"/>
      </w:pPr>
      <w:r>
        <w:t xml:space="preserve">complete details about outstanding </w:t>
      </w:r>
      <w:proofErr w:type="spellStart"/>
      <w:r>
        <w:t>overdues</w:t>
      </w:r>
      <w:proofErr w:type="spellEnd"/>
      <w:r>
        <w:t xml:space="preserve"> to material creditors along with the name and amount involved for each such material creditor shall be disclosed on the website of the </w:t>
      </w:r>
      <w:r w:rsidRPr="0094670E">
        <w:rPr>
          <w:lang w:val="en-US"/>
        </w:rPr>
        <w:t>issuer company</w:t>
      </w:r>
      <w:r>
        <w:t xml:space="preserve"> with a web link thereto in the Offer Documents.</w:t>
      </w:r>
    </w:p>
    <w:p w14:paraId="16A58311" w14:textId="016929FA" w:rsidR="00F62EA5" w:rsidRDefault="006D498B" w:rsidP="009530CB">
      <w:pPr>
        <w:spacing w:beforeAutospacing="1" w:afterAutospacing="1"/>
        <w:jc w:val="both"/>
      </w:pPr>
      <w:r w:rsidRPr="007F7413">
        <w:t>In relation to disclosure of outstanding material dues owed to creditors</w:t>
      </w:r>
      <w:r w:rsidR="00492D8E">
        <w:t xml:space="preserve"> as per (</w:t>
      </w:r>
      <w:proofErr w:type="spellStart"/>
      <w:r w:rsidR="00492D8E">
        <w:t>i</w:t>
      </w:r>
      <w:proofErr w:type="spellEnd"/>
      <w:r w:rsidR="00492D8E">
        <w:t>) and (iii) above</w:t>
      </w:r>
      <w:r w:rsidRPr="007F7413">
        <w:t xml:space="preserve">, we propose that dues owed by the Company to any creditor of the Company having a monetary value which exceeds </w:t>
      </w:r>
      <w:r w:rsidR="00A2058B">
        <w:t>5%</w:t>
      </w:r>
      <w:r w:rsidR="00A2058B" w:rsidRPr="007F7413">
        <w:t xml:space="preserve"> </w:t>
      </w:r>
      <w:r w:rsidRPr="007F7413">
        <w:t>of</w:t>
      </w:r>
      <w:r w:rsidR="006F79A8">
        <w:t xml:space="preserve"> </w:t>
      </w:r>
      <w:r w:rsidR="00626436">
        <w:t>the</w:t>
      </w:r>
      <w:r w:rsidR="00BF1792">
        <w:t xml:space="preserve"> total</w:t>
      </w:r>
      <w:r w:rsidR="00626436">
        <w:t xml:space="preserve"> </w:t>
      </w:r>
      <w:r w:rsidRPr="007F7413">
        <w:t>trade payables</w:t>
      </w:r>
      <w:r w:rsidR="00BF1792">
        <w:t xml:space="preserve"> </w:t>
      </w:r>
      <w:r w:rsidRPr="007F7413">
        <w:t>of the Company</w:t>
      </w:r>
      <w:r w:rsidR="00E30F01">
        <w:t>,</w:t>
      </w:r>
      <w:r w:rsidR="00E30F01" w:rsidRPr="00E30F01">
        <w:rPr>
          <w:bCs/>
          <w:lang w:val="en-GB"/>
        </w:rPr>
        <w:t xml:space="preserve"> </w:t>
      </w:r>
      <w:r w:rsidR="00E30F01" w:rsidRPr="00BA6978">
        <w:rPr>
          <w:bCs/>
          <w:lang w:val="en-GB"/>
        </w:rPr>
        <w:t xml:space="preserve">as on the </w:t>
      </w:r>
      <w:r w:rsidR="00E30F01">
        <w:rPr>
          <w:bCs/>
          <w:lang w:val="en-GB"/>
        </w:rPr>
        <w:t xml:space="preserve">end </w:t>
      </w:r>
      <w:r w:rsidR="00E30F01" w:rsidRPr="00BA6978">
        <w:rPr>
          <w:bCs/>
          <w:lang w:val="en-GB"/>
        </w:rPr>
        <w:t xml:space="preserve">of the </w:t>
      </w:r>
      <w:r w:rsidR="00EB1819">
        <w:rPr>
          <w:bCs/>
          <w:lang w:val="en-GB"/>
        </w:rPr>
        <w:t>latest</w:t>
      </w:r>
      <w:r w:rsidR="00BB2C88">
        <w:rPr>
          <w:bCs/>
          <w:lang w:val="en-GB"/>
        </w:rPr>
        <w:t xml:space="preserve"> </w:t>
      </w:r>
      <w:r w:rsidR="00FC3AD8">
        <w:rPr>
          <w:bCs/>
          <w:lang w:val="en-GB"/>
        </w:rPr>
        <w:t xml:space="preserve">financial </w:t>
      </w:r>
      <w:r w:rsidR="00E30F01">
        <w:rPr>
          <w:bCs/>
          <w:lang w:val="en-GB"/>
        </w:rPr>
        <w:t>period included in the</w:t>
      </w:r>
      <w:r w:rsidR="00E30F01" w:rsidRPr="00BA6978">
        <w:rPr>
          <w:bCs/>
          <w:lang w:val="en-GB"/>
        </w:rPr>
        <w:t xml:space="preserve"> </w:t>
      </w:r>
      <w:r w:rsidR="00371346">
        <w:t xml:space="preserve">restated </w:t>
      </w:r>
      <w:r w:rsidR="00371346" w:rsidRPr="009D2A8A">
        <w:t>financial statements</w:t>
      </w:r>
      <w:r w:rsidR="00371346">
        <w:t xml:space="preserve"> of the Company</w:t>
      </w:r>
      <w:r w:rsidR="00371346">
        <w:rPr>
          <w:bCs/>
          <w:lang w:val="en-GB"/>
        </w:rPr>
        <w:t xml:space="preserve"> </w:t>
      </w:r>
      <w:r w:rsidRPr="007F7413">
        <w:t xml:space="preserve">disclosed in the </w:t>
      </w:r>
      <w:r w:rsidR="00371346">
        <w:t>O</w:t>
      </w:r>
      <w:r w:rsidRPr="007F7413">
        <w:t xml:space="preserve">ffer </w:t>
      </w:r>
      <w:r w:rsidR="00371346">
        <w:t>D</w:t>
      </w:r>
      <w:r w:rsidRPr="007F7413">
        <w:t>ocuments</w:t>
      </w:r>
      <w:r w:rsidR="008A01EB">
        <w:t>, be considered as material dues</w:t>
      </w:r>
      <w:r w:rsidR="00FC3AD8">
        <w:t>.</w:t>
      </w:r>
      <w:r w:rsidR="00AC07B4">
        <w:t xml:space="preserve"> </w:t>
      </w:r>
    </w:p>
    <w:p w14:paraId="6B3C26C6" w14:textId="17BF0813" w:rsidR="006D498B" w:rsidRPr="007F7413" w:rsidRDefault="001F0783" w:rsidP="009530CB">
      <w:pPr>
        <w:spacing w:beforeAutospacing="1" w:afterAutospacing="1"/>
        <w:jc w:val="both"/>
      </w:pPr>
      <w:r>
        <w:t>Further, for outstanding dues to micro, small or medium enterprise (“</w:t>
      </w:r>
      <w:r w:rsidRPr="00C708AC">
        <w:rPr>
          <w:b/>
          <w:bCs/>
        </w:rPr>
        <w:t>MSME</w:t>
      </w:r>
      <w:r>
        <w:t>”), the disclosure will be based on information available with the Company regarding status of the creditor as defined under Section 2 of the Micro, Small and Medium Enterprises Act, 2006</w:t>
      </w:r>
      <w:r w:rsidR="002847BC">
        <w:t>.</w:t>
      </w:r>
    </w:p>
    <w:p w14:paraId="3EBB939D" w14:textId="6655D479" w:rsidR="009530CB" w:rsidRPr="003B42B8" w:rsidRDefault="009530CB" w:rsidP="002F4226">
      <w:pPr>
        <w:pStyle w:val="ListParagraph"/>
        <w:numPr>
          <w:ilvl w:val="0"/>
          <w:numId w:val="1"/>
        </w:numPr>
        <w:tabs>
          <w:tab w:val="clear" w:pos="720"/>
        </w:tabs>
        <w:spacing w:beforeAutospacing="0" w:afterAutospacing="0"/>
        <w:ind w:left="0" w:hanging="426"/>
        <w:jc w:val="both"/>
        <w:rPr>
          <w:u w:val="single"/>
        </w:rPr>
      </w:pPr>
      <w:r w:rsidRPr="003B42B8">
        <w:rPr>
          <w:b/>
          <w:bCs/>
          <w:u w:val="single"/>
        </w:rPr>
        <w:t>Identification of group companies</w:t>
      </w:r>
      <w:r w:rsidR="0063630D">
        <w:rPr>
          <w:b/>
          <w:bCs/>
          <w:u w:val="single"/>
        </w:rPr>
        <w:t xml:space="preserve"> </w:t>
      </w:r>
    </w:p>
    <w:p w14:paraId="3D1ABBE3" w14:textId="77777777" w:rsidR="009530CB" w:rsidRPr="007F7413" w:rsidRDefault="009530CB" w:rsidP="009530CB">
      <w:pPr>
        <w:jc w:val="both"/>
      </w:pPr>
    </w:p>
    <w:p w14:paraId="45A6C2BD" w14:textId="77777777" w:rsidR="009530CB" w:rsidRPr="007F7413" w:rsidRDefault="009530CB" w:rsidP="009530CB">
      <w:pPr>
        <w:jc w:val="both"/>
        <w:rPr>
          <w:u w:val="single"/>
        </w:rPr>
      </w:pPr>
      <w:r w:rsidRPr="007F7413">
        <w:t>With respect to identification of group companies, the following approach may be considered pursuant to the provisions of the SEBI ICDR Regulations:</w:t>
      </w:r>
    </w:p>
    <w:p w14:paraId="21C80289" w14:textId="0A1BD74D" w:rsidR="009530CB" w:rsidRPr="00E04C77" w:rsidRDefault="009530CB" w:rsidP="00E04C77">
      <w:pPr>
        <w:pStyle w:val="ListParagraph"/>
        <w:numPr>
          <w:ilvl w:val="0"/>
          <w:numId w:val="8"/>
        </w:numPr>
        <w:jc w:val="both"/>
        <w:rPr>
          <w:rFonts w:eastAsia="Calibri"/>
          <w:lang w:eastAsia="en-US"/>
        </w:rPr>
      </w:pPr>
      <w:r w:rsidRPr="007F7413">
        <w:rPr>
          <w:rFonts w:eastAsia="Calibri"/>
          <w:lang w:eastAsia="en-US"/>
        </w:rPr>
        <w:t xml:space="preserve">Companies </w:t>
      </w:r>
      <w:r w:rsidR="00B13EE5">
        <w:rPr>
          <w:rFonts w:eastAsia="Calibri"/>
          <w:lang w:eastAsia="en-US"/>
        </w:rPr>
        <w:t xml:space="preserve">(other than </w:t>
      </w:r>
      <w:r w:rsidR="0063411F">
        <w:rPr>
          <w:rFonts w:eastAsia="Calibri"/>
          <w:lang w:eastAsia="en-US"/>
        </w:rPr>
        <w:t xml:space="preserve">the </w:t>
      </w:r>
      <w:r w:rsidR="00B13EE5">
        <w:rPr>
          <w:rFonts w:eastAsia="Calibri"/>
          <w:lang w:eastAsia="en-US"/>
        </w:rPr>
        <w:t xml:space="preserve">promoter(s) and subsidiaries) </w:t>
      </w:r>
      <w:r w:rsidRPr="007F7413">
        <w:rPr>
          <w:rFonts w:eastAsia="Calibri"/>
          <w:lang w:eastAsia="en-US"/>
        </w:rPr>
        <w:t>with which there were related party transactions during the period</w:t>
      </w:r>
      <w:r w:rsidR="00371E47">
        <w:rPr>
          <w:rFonts w:eastAsia="Calibri"/>
          <w:lang w:eastAsia="en-US"/>
        </w:rPr>
        <w:t>s</w:t>
      </w:r>
      <w:r w:rsidRPr="007F7413">
        <w:rPr>
          <w:rFonts w:eastAsia="Calibri"/>
          <w:lang w:eastAsia="en-US"/>
        </w:rPr>
        <w:t xml:space="preserve"> disclosed in the restated</w:t>
      </w:r>
      <w:r w:rsidR="00BB2C1F">
        <w:rPr>
          <w:rFonts w:eastAsia="Calibri"/>
          <w:lang w:eastAsia="en-US"/>
        </w:rPr>
        <w:t xml:space="preserve"> </w:t>
      </w:r>
      <w:r w:rsidRPr="007F7413">
        <w:rPr>
          <w:rFonts w:eastAsia="Calibri"/>
          <w:lang w:eastAsia="en-US"/>
        </w:rPr>
        <w:t>financial statements</w:t>
      </w:r>
      <w:r w:rsidR="00B13EE5" w:rsidRPr="00B13EE5">
        <w:t xml:space="preserve"> </w:t>
      </w:r>
      <w:r w:rsidR="00B13EE5" w:rsidRPr="00B13EE5">
        <w:rPr>
          <w:rFonts w:eastAsia="Calibri"/>
          <w:lang w:eastAsia="en-US"/>
        </w:rPr>
        <w:t>as</w:t>
      </w:r>
      <w:r w:rsidR="00B13EE5">
        <w:rPr>
          <w:rFonts w:eastAsia="Calibri"/>
          <w:lang w:eastAsia="en-US"/>
        </w:rPr>
        <w:t xml:space="preserve"> </w:t>
      </w:r>
      <w:r w:rsidR="00B13EE5" w:rsidRPr="00E04C77">
        <w:rPr>
          <w:rFonts w:eastAsia="Calibri"/>
          <w:lang w:eastAsia="en-US"/>
        </w:rPr>
        <w:t>covered under the applicable accounting standards</w:t>
      </w:r>
      <w:r w:rsidRPr="00E04C77">
        <w:rPr>
          <w:rFonts w:eastAsia="Calibri"/>
          <w:lang w:eastAsia="en-US"/>
        </w:rPr>
        <w:t>; and</w:t>
      </w:r>
    </w:p>
    <w:p w14:paraId="503E7468" w14:textId="0BA69DED" w:rsidR="009530CB" w:rsidRPr="007F7413" w:rsidRDefault="009530CB" w:rsidP="009530CB">
      <w:pPr>
        <w:pStyle w:val="ListParagraph"/>
        <w:numPr>
          <w:ilvl w:val="0"/>
          <w:numId w:val="8"/>
        </w:numPr>
        <w:spacing w:beforeAutospacing="0" w:afterAutospacing="0"/>
        <w:jc w:val="both"/>
      </w:pPr>
      <w:r w:rsidRPr="007F7413">
        <w:rPr>
          <w:rFonts w:eastAsia="Calibri"/>
          <w:lang w:eastAsia="en-US"/>
        </w:rPr>
        <w:t xml:space="preserve">Companies that are considered material by the </w:t>
      </w:r>
      <w:r w:rsidRPr="00030D1E">
        <w:rPr>
          <w:rFonts w:eastAsia="Calibri"/>
          <w:lang w:eastAsia="en-US"/>
        </w:rPr>
        <w:t>Board</w:t>
      </w:r>
      <w:r w:rsidRPr="007F7413">
        <w:rPr>
          <w:rFonts w:eastAsia="Calibri"/>
          <w:lang w:eastAsia="en-US"/>
        </w:rPr>
        <w:t>.</w:t>
      </w:r>
    </w:p>
    <w:p w14:paraId="5757D8A5" w14:textId="683CBB19" w:rsidR="009530CB" w:rsidRPr="00203CF7" w:rsidRDefault="009530CB" w:rsidP="00D73324">
      <w:pPr>
        <w:pStyle w:val="ListParagraph"/>
        <w:numPr>
          <w:ilvl w:val="0"/>
          <w:numId w:val="23"/>
        </w:numPr>
        <w:spacing w:after="0" w:afterAutospacing="0"/>
        <w:ind w:hanging="720"/>
        <w:jc w:val="both"/>
        <w:rPr>
          <w:rFonts w:eastAsia="Calibri"/>
          <w:lang w:eastAsia="en-US"/>
        </w:rPr>
      </w:pPr>
      <w:r w:rsidRPr="00203CF7">
        <w:rPr>
          <w:rFonts w:eastAsia="Calibri"/>
          <w:lang w:eastAsia="en-US"/>
        </w:rPr>
        <w:t>For (</w:t>
      </w:r>
      <w:proofErr w:type="spellStart"/>
      <w:r w:rsidRPr="00203CF7">
        <w:rPr>
          <w:rFonts w:eastAsia="Calibri"/>
          <w:lang w:eastAsia="en-US"/>
        </w:rPr>
        <w:t>i</w:t>
      </w:r>
      <w:proofErr w:type="spellEnd"/>
      <w:r w:rsidRPr="00203CF7">
        <w:rPr>
          <w:rFonts w:eastAsia="Calibri"/>
          <w:lang w:eastAsia="en-US"/>
        </w:rPr>
        <w:t>)</w:t>
      </w:r>
      <w:r w:rsidR="00203CF7">
        <w:rPr>
          <w:rFonts w:eastAsia="Calibri"/>
          <w:lang w:eastAsia="en-US"/>
        </w:rPr>
        <w:t xml:space="preserve"> above</w:t>
      </w:r>
      <w:r w:rsidRPr="00203CF7">
        <w:rPr>
          <w:rFonts w:eastAsia="Calibri"/>
          <w:lang w:eastAsia="en-US"/>
        </w:rPr>
        <w:t xml:space="preserve">, all companies (other than </w:t>
      </w:r>
      <w:r w:rsidR="00371346">
        <w:rPr>
          <w:rFonts w:eastAsia="Calibri"/>
          <w:lang w:eastAsia="en-US"/>
        </w:rPr>
        <w:t>corporate promoter</w:t>
      </w:r>
      <w:r w:rsidR="002D35FA">
        <w:rPr>
          <w:rFonts w:eastAsia="Calibri"/>
          <w:lang w:eastAsia="en-US"/>
        </w:rPr>
        <w:t xml:space="preserve"> of the Company</w:t>
      </w:r>
      <w:r w:rsidR="006D4AF6" w:rsidRPr="00203CF7">
        <w:rPr>
          <w:rFonts w:eastAsia="Calibri"/>
          <w:lang w:eastAsia="en-US"/>
        </w:rPr>
        <w:t>)</w:t>
      </w:r>
      <w:r w:rsidRPr="00203CF7">
        <w:rPr>
          <w:rFonts w:eastAsia="Calibri"/>
          <w:lang w:eastAsia="en-US"/>
        </w:rPr>
        <w:t xml:space="preserve"> with whom the Company has had related party transactions during the period disclosed in the restated financial statements</w:t>
      </w:r>
      <w:r w:rsidR="00942B6E">
        <w:rPr>
          <w:rFonts w:eastAsia="Calibri"/>
          <w:lang w:eastAsia="en-US"/>
        </w:rPr>
        <w:t xml:space="preserve"> in the Offer Documents</w:t>
      </w:r>
      <w:r w:rsidR="00492A89">
        <w:rPr>
          <w:rFonts w:eastAsia="Calibri"/>
          <w:lang w:eastAsia="en-US"/>
        </w:rPr>
        <w:t>, as covered under the applicable accounting standards</w:t>
      </w:r>
      <w:r w:rsidRPr="00203CF7">
        <w:rPr>
          <w:rFonts w:eastAsia="Calibri"/>
          <w:lang w:eastAsia="en-US"/>
        </w:rPr>
        <w:t>, will be categorised as group companies</w:t>
      </w:r>
      <w:r w:rsidR="005457A4">
        <w:rPr>
          <w:rFonts w:eastAsia="Calibri"/>
          <w:lang w:eastAsia="en-US"/>
        </w:rPr>
        <w:t xml:space="preserve"> </w:t>
      </w:r>
      <w:r w:rsidR="005457A4" w:rsidRPr="005457A4">
        <w:rPr>
          <w:rFonts w:eastAsia="Calibri"/>
          <w:lang w:eastAsia="en-US"/>
        </w:rPr>
        <w:t>in terms of the SEBI ICDR Regulations.</w:t>
      </w:r>
    </w:p>
    <w:p w14:paraId="6BCEDB5B" w14:textId="4782EFBE" w:rsidR="005862F6" w:rsidRPr="007F7413" w:rsidRDefault="005862F6" w:rsidP="0011431B">
      <w:pPr>
        <w:jc w:val="both"/>
      </w:pPr>
    </w:p>
    <w:p w14:paraId="4E810399" w14:textId="769A8DE6" w:rsidR="00D15127" w:rsidRDefault="005C501F" w:rsidP="00D15127">
      <w:pPr>
        <w:pStyle w:val="ListParagraph"/>
        <w:numPr>
          <w:ilvl w:val="0"/>
          <w:numId w:val="23"/>
        </w:numPr>
        <w:spacing w:before="0" w:beforeAutospacing="0" w:after="0" w:afterAutospacing="0"/>
        <w:ind w:hanging="720"/>
        <w:jc w:val="both"/>
        <w:rPr>
          <w:rFonts w:eastAsia="Calibri"/>
          <w:lang w:eastAsia="en-US"/>
        </w:rPr>
      </w:pPr>
      <w:r w:rsidRPr="005C501F">
        <w:rPr>
          <w:rFonts w:eastAsia="Calibri"/>
          <w:bCs/>
          <w:lang w:eastAsia="en-US"/>
        </w:rPr>
        <w:t>In relation to (ii) above, companies (other than the corporate promoter</w:t>
      </w:r>
      <w:r>
        <w:rPr>
          <w:rFonts w:eastAsia="Calibri"/>
          <w:bCs/>
          <w:lang w:eastAsia="en-US"/>
        </w:rPr>
        <w:t xml:space="preserve"> of the Company</w:t>
      </w:r>
      <w:r w:rsidRPr="005C501F">
        <w:rPr>
          <w:rFonts w:eastAsia="Calibri"/>
          <w:bCs/>
          <w:lang w:eastAsia="en-US"/>
        </w:rPr>
        <w:t>) forming part of the</w:t>
      </w:r>
      <w:r>
        <w:rPr>
          <w:rFonts w:eastAsia="Calibri"/>
          <w:bCs/>
          <w:lang w:eastAsia="en-US"/>
        </w:rPr>
        <w:t xml:space="preserve"> </w:t>
      </w:r>
      <w:r w:rsidRPr="00E04C77">
        <w:rPr>
          <w:rFonts w:eastAsia="Calibri"/>
          <w:bCs/>
          <w:lang w:eastAsia="en-US"/>
        </w:rPr>
        <w:t>promoter group in terms of Regulation 2(1)(pp) of the SEBI ICDR Regulations, with which the Company has had</w:t>
      </w:r>
      <w:r>
        <w:rPr>
          <w:rFonts w:eastAsia="Calibri"/>
          <w:bCs/>
          <w:lang w:eastAsia="en-US"/>
        </w:rPr>
        <w:t xml:space="preserve"> </w:t>
      </w:r>
      <w:r w:rsidRPr="00E04C77">
        <w:rPr>
          <w:rFonts w:eastAsia="Calibri"/>
          <w:bCs/>
          <w:lang w:eastAsia="en-US"/>
        </w:rPr>
        <w:t>transactions in the most recent financial year and/or the relevant stub period, as applicable, which individually or</w:t>
      </w:r>
      <w:r>
        <w:rPr>
          <w:rFonts w:eastAsia="Calibri"/>
          <w:bCs/>
          <w:lang w:eastAsia="en-US"/>
        </w:rPr>
        <w:t xml:space="preserve"> </w:t>
      </w:r>
      <w:r w:rsidRPr="00E04C77">
        <w:rPr>
          <w:rFonts w:eastAsia="Calibri"/>
          <w:bCs/>
          <w:lang w:eastAsia="en-US"/>
        </w:rPr>
        <w:t>in the aggregate, exceed 10% of the total restated revenue from operations of the Company for the</w:t>
      </w:r>
      <w:r>
        <w:rPr>
          <w:rFonts w:eastAsia="Calibri"/>
          <w:bCs/>
          <w:lang w:eastAsia="en-US"/>
        </w:rPr>
        <w:t xml:space="preserve"> </w:t>
      </w:r>
      <w:r w:rsidRPr="00E04C77">
        <w:rPr>
          <w:rFonts w:eastAsia="Calibri"/>
          <w:bCs/>
          <w:lang w:eastAsia="en-US"/>
        </w:rPr>
        <w:t>most recent financial year or the stub period, as the case may be, as per the restated financial</w:t>
      </w:r>
      <w:r>
        <w:rPr>
          <w:rFonts w:eastAsia="Calibri"/>
          <w:bCs/>
          <w:lang w:eastAsia="en-US"/>
        </w:rPr>
        <w:t xml:space="preserve"> </w:t>
      </w:r>
      <w:r w:rsidRPr="00E04C77">
        <w:rPr>
          <w:rFonts w:eastAsia="Calibri"/>
          <w:bCs/>
          <w:lang w:eastAsia="en-US"/>
        </w:rPr>
        <w:t>statements included in the Offer Documents, shall be considered material</w:t>
      </w:r>
      <w:r w:rsidR="007F5F6D">
        <w:rPr>
          <w:rFonts w:eastAsia="Calibri"/>
          <w:bCs/>
          <w:lang w:eastAsia="en-US"/>
        </w:rPr>
        <w:t>.</w:t>
      </w:r>
    </w:p>
    <w:p w14:paraId="0A4F7051" w14:textId="77777777" w:rsidR="00D15127" w:rsidRDefault="00D15127" w:rsidP="00E04C77">
      <w:pPr>
        <w:pStyle w:val="ListParagraph"/>
        <w:spacing w:before="0" w:beforeAutospacing="0" w:after="0" w:afterAutospacing="0"/>
        <w:ind w:left="720"/>
        <w:jc w:val="both"/>
        <w:rPr>
          <w:rFonts w:eastAsia="Calibri"/>
          <w:lang w:eastAsia="en-US"/>
        </w:rPr>
      </w:pPr>
    </w:p>
    <w:p w14:paraId="37BB36F7" w14:textId="1819C2B5" w:rsidR="00886D97" w:rsidRPr="00030D1E" w:rsidRDefault="007246A9" w:rsidP="00E04C77">
      <w:pPr>
        <w:pStyle w:val="ListParagraph"/>
        <w:numPr>
          <w:ilvl w:val="0"/>
          <w:numId w:val="23"/>
        </w:numPr>
        <w:spacing w:before="0" w:beforeAutospacing="0" w:after="0" w:afterAutospacing="0"/>
        <w:ind w:hanging="720"/>
        <w:jc w:val="both"/>
      </w:pPr>
      <w:r w:rsidRPr="00843294">
        <w:rPr>
          <w:rFonts w:eastAsia="Calibri"/>
          <w:lang w:eastAsia="en-US"/>
        </w:rPr>
        <w:t xml:space="preserve">Please note that in terms of the SEBI ICDR Regulations, certain financial information from the audited financial statements of the top five group companies of the Company </w:t>
      </w:r>
      <w:r w:rsidR="001961F9">
        <w:rPr>
          <w:rFonts w:eastAsia="Calibri"/>
          <w:lang w:eastAsia="en-US"/>
        </w:rPr>
        <w:t xml:space="preserve">for the last three fiscal years </w:t>
      </w:r>
      <w:r w:rsidRPr="00843294">
        <w:rPr>
          <w:rFonts w:eastAsia="Calibri"/>
          <w:lang w:eastAsia="en-US"/>
        </w:rPr>
        <w:t xml:space="preserve">(based on market capitalization for listed companies and based on turnover in case of unlisted companies) is required to be hosted on their respective websites and links to such websites will be disclosed in the </w:t>
      </w:r>
      <w:r w:rsidR="00D15127">
        <w:rPr>
          <w:rFonts w:eastAsia="Calibri"/>
          <w:lang w:eastAsia="en-US"/>
        </w:rPr>
        <w:t>O</w:t>
      </w:r>
      <w:r>
        <w:rPr>
          <w:rFonts w:eastAsia="Calibri"/>
          <w:lang w:eastAsia="en-US"/>
        </w:rPr>
        <w:t xml:space="preserve">ffer </w:t>
      </w:r>
      <w:r w:rsidR="00D15127">
        <w:rPr>
          <w:rFonts w:eastAsia="Calibri"/>
          <w:lang w:eastAsia="en-US"/>
        </w:rPr>
        <w:t>D</w:t>
      </w:r>
      <w:r>
        <w:rPr>
          <w:rFonts w:eastAsia="Calibri"/>
          <w:lang w:eastAsia="en-US"/>
        </w:rPr>
        <w:t>ocuments filed by the Company</w:t>
      </w:r>
      <w:r w:rsidRPr="00843294">
        <w:rPr>
          <w:rFonts w:eastAsia="Calibri"/>
          <w:lang w:eastAsia="en-US"/>
        </w:rPr>
        <w:t>.</w:t>
      </w:r>
      <w:bookmarkEnd w:id="0"/>
    </w:p>
    <w:p w14:paraId="2429D48B" w14:textId="77777777" w:rsidR="00E26FCD" w:rsidRDefault="00E26FCD" w:rsidP="00030D1E">
      <w:pPr>
        <w:pStyle w:val="ListParagraph"/>
        <w:spacing w:before="0" w:beforeAutospacing="0" w:after="0" w:afterAutospacing="0"/>
        <w:ind w:left="720"/>
        <w:jc w:val="both"/>
      </w:pPr>
    </w:p>
    <w:p w14:paraId="5619F678" w14:textId="77777777" w:rsidR="007246A9" w:rsidRPr="0007339C" w:rsidRDefault="007246A9" w:rsidP="007246A9">
      <w:pPr>
        <w:shd w:val="clear" w:color="auto" w:fill="FFFFFF"/>
        <w:jc w:val="both"/>
        <w:outlineLvl w:val="1"/>
        <w:rPr>
          <w:rFonts w:cstheme="minorHAnsi"/>
          <w:b/>
        </w:rPr>
      </w:pPr>
      <w:r w:rsidRPr="0007339C">
        <w:rPr>
          <w:rFonts w:eastAsia="Times New Roman" w:cstheme="minorHAnsi"/>
          <w:b/>
          <w:bCs/>
        </w:rPr>
        <w:t>GENERAL</w:t>
      </w:r>
    </w:p>
    <w:p w14:paraId="3D113C80" w14:textId="77777777" w:rsidR="007246A9" w:rsidRPr="0007339C" w:rsidRDefault="007246A9" w:rsidP="007246A9">
      <w:pPr>
        <w:jc w:val="both"/>
        <w:rPr>
          <w:rFonts w:cstheme="minorHAnsi"/>
        </w:rPr>
      </w:pPr>
    </w:p>
    <w:p w14:paraId="594ACB59" w14:textId="76803FD5" w:rsidR="007246A9" w:rsidRDefault="007246A9" w:rsidP="007246A9">
      <w:pPr>
        <w:jc w:val="both"/>
        <w:rPr>
          <w:rFonts w:cstheme="minorHAnsi"/>
        </w:rPr>
      </w:pPr>
      <w:r w:rsidRPr="00D939E3">
        <w:rPr>
          <w:rFonts w:cstheme="minorHAnsi"/>
        </w:rPr>
        <w:t xml:space="preserve">It is clarified that the Policy is solely for the purpose of disclosure requirements prescribed under the </w:t>
      </w:r>
      <w:r w:rsidR="00E26FCD">
        <w:rPr>
          <w:rFonts w:cstheme="minorHAnsi"/>
        </w:rPr>
        <w:t xml:space="preserve">SEBI ICDR </w:t>
      </w:r>
      <w:proofErr w:type="gramStart"/>
      <w:r w:rsidR="00E26FCD">
        <w:rPr>
          <w:rFonts w:cstheme="minorHAnsi"/>
        </w:rPr>
        <w:t xml:space="preserve">Regulations </w:t>
      </w:r>
      <w:r w:rsidRPr="00D939E3">
        <w:rPr>
          <w:rFonts w:cstheme="minorHAnsi"/>
        </w:rPr>
        <w:t xml:space="preserve"> with</w:t>
      </w:r>
      <w:proofErr w:type="gramEnd"/>
      <w:r w:rsidRPr="00D939E3">
        <w:rPr>
          <w:rFonts w:cstheme="minorHAnsi"/>
        </w:rPr>
        <w:t xml:space="preserve"> respect to the </w:t>
      </w:r>
      <w:r w:rsidR="00356EE3">
        <w:rPr>
          <w:rFonts w:cstheme="minorHAnsi"/>
        </w:rPr>
        <w:t>O</w:t>
      </w:r>
      <w:r w:rsidRPr="00D939E3">
        <w:rPr>
          <w:rFonts w:cstheme="minorHAnsi"/>
        </w:rPr>
        <w:t xml:space="preserve">ffer </w:t>
      </w:r>
      <w:r w:rsidR="00356EE3">
        <w:rPr>
          <w:rFonts w:cstheme="minorHAnsi"/>
        </w:rPr>
        <w:t>D</w:t>
      </w:r>
      <w:r w:rsidRPr="00D939E3">
        <w:rPr>
          <w:rFonts w:cstheme="minorHAnsi"/>
        </w:rPr>
        <w:t xml:space="preserve">ocuments, and should not be applied towards any other purpose, including for disclosure of material information by listed entities pursuant to the </w:t>
      </w:r>
      <w:r w:rsidRPr="00D939E3">
        <w:rPr>
          <w:rFonts w:cstheme="minorHAnsi"/>
        </w:rPr>
        <w:lastRenderedPageBreak/>
        <w:t>Securities and Exchange Board of India (Listing Obligations and Disclosure Requirements) Regulations, 2015, as amended</w:t>
      </w:r>
      <w:r w:rsidR="00E26FCD">
        <w:rPr>
          <w:rFonts w:cstheme="minorHAnsi"/>
        </w:rPr>
        <w:t xml:space="preserve">, </w:t>
      </w:r>
      <w:r w:rsidR="00E26FCD" w:rsidRPr="00FD6287">
        <w:rPr>
          <w:rFonts w:cstheme="minorHAnsi"/>
        </w:rPr>
        <w:t>after the listing of the equity shares of the Company</w:t>
      </w:r>
      <w:r w:rsidRPr="00D939E3">
        <w:rPr>
          <w:rFonts w:cstheme="minorHAnsi"/>
        </w:rPr>
        <w:t>.</w:t>
      </w:r>
    </w:p>
    <w:p w14:paraId="2567EECC" w14:textId="77777777" w:rsidR="007246A9" w:rsidRDefault="007246A9" w:rsidP="007246A9">
      <w:pPr>
        <w:jc w:val="both"/>
        <w:rPr>
          <w:rFonts w:cstheme="minorHAnsi"/>
        </w:rPr>
      </w:pPr>
    </w:p>
    <w:p w14:paraId="1F40DD4E" w14:textId="15545C48" w:rsidR="007246A9" w:rsidRPr="0007339C" w:rsidRDefault="007246A9" w:rsidP="007246A9">
      <w:pPr>
        <w:jc w:val="both"/>
        <w:rPr>
          <w:rFonts w:cstheme="minorHAnsi"/>
        </w:rPr>
      </w:pPr>
      <w:r w:rsidRPr="0007339C">
        <w:rPr>
          <w:rFonts w:cstheme="minorHAnsi"/>
        </w:rPr>
        <w:t xml:space="preserve">The Policy shall be without prejudice to any disclosure requirements, which may be prescribed </w:t>
      </w:r>
      <w:r w:rsidRPr="00E25835">
        <w:rPr>
          <w:rFonts w:cstheme="minorHAnsi"/>
        </w:rPr>
        <w:t>under the Companies Act, 2013 and the rules thereunder</w:t>
      </w:r>
      <w:r w:rsidRPr="0007339C">
        <w:rPr>
          <w:rFonts w:cstheme="minorHAnsi"/>
        </w:rPr>
        <w:t xml:space="preserve"> or by SEBI and/ or such other regulatory</w:t>
      </w:r>
      <w:r>
        <w:rPr>
          <w:rFonts w:cstheme="minorHAnsi"/>
        </w:rPr>
        <w:t xml:space="preserve">, </w:t>
      </w:r>
      <w:r w:rsidRPr="00E25835">
        <w:rPr>
          <w:rFonts w:cstheme="minorHAnsi"/>
        </w:rPr>
        <w:t xml:space="preserve">judicial, quasi-judicial, administrative </w:t>
      </w:r>
      <w:r w:rsidRPr="0007339C">
        <w:rPr>
          <w:rFonts w:cstheme="minorHAnsi"/>
        </w:rPr>
        <w:t xml:space="preserve">or statutory authority with respect to listed companies or disclosure requirements as may be prescribed by SEBI through its observations on the </w:t>
      </w:r>
      <w:r w:rsidR="00EC129C">
        <w:rPr>
          <w:rFonts w:cstheme="minorHAnsi"/>
        </w:rPr>
        <w:t>O</w:t>
      </w:r>
      <w:r w:rsidRPr="0007339C">
        <w:rPr>
          <w:rFonts w:cstheme="minorHAnsi"/>
        </w:rPr>
        <w:t xml:space="preserve">ffer </w:t>
      </w:r>
      <w:r w:rsidR="00EC129C">
        <w:rPr>
          <w:rFonts w:cstheme="minorHAnsi"/>
        </w:rPr>
        <w:t>D</w:t>
      </w:r>
      <w:r w:rsidRPr="0007339C">
        <w:rPr>
          <w:rFonts w:cstheme="minorHAnsi"/>
        </w:rPr>
        <w:t>ocuments, or</w:t>
      </w:r>
      <w:r>
        <w:rPr>
          <w:rFonts w:cstheme="minorHAnsi"/>
        </w:rPr>
        <w:t xml:space="preserve"> additional</w:t>
      </w:r>
      <w:r w:rsidRPr="0007339C">
        <w:rPr>
          <w:rFonts w:cstheme="minorHAnsi"/>
        </w:rPr>
        <w:t xml:space="preserve"> disclosures that may arise </w:t>
      </w:r>
      <w:r>
        <w:rPr>
          <w:rFonts w:cstheme="minorHAnsi"/>
        </w:rPr>
        <w:t>on account of</w:t>
      </w:r>
      <w:r w:rsidRPr="0007339C">
        <w:rPr>
          <w:rFonts w:cstheme="minorHAnsi"/>
        </w:rPr>
        <w:t xml:space="preserve"> any investor or other complaints.</w:t>
      </w:r>
    </w:p>
    <w:p w14:paraId="1676C0F8" w14:textId="77777777" w:rsidR="007246A9" w:rsidRPr="0007339C" w:rsidRDefault="007246A9" w:rsidP="007246A9">
      <w:pPr>
        <w:jc w:val="both"/>
        <w:rPr>
          <w:rFonts w:cstheme="minorHAnsi"/>
        </w:rPr>
      </w:pPr>
    </w:p>
    <w:p w14:paraId="64D5B672" w14:textId="77777777" w:rsidR="007246A9" w:rsidRPr="009E026D" w:rsidRDefault="007246A9" w:rsidP="007246A9">
      <w:pPr>
        <w:jc w:val="both"/>
        <w:rPr>
          <w:i/>
          <w:iCs/>
        </w:rPr>
      </w:pPr>
      <w:r w:rsidRPr="0007339C">
        <w:rPr>
          <w:rFonts w:cstheme="minorHAnsi"/>
        </w:rPr>
        <w:t xml:space="preserve">This </w:t>
      </w:r>
      <w:r>
        <w:rPr>
          <w:rFonts w:cstheme="minorHAnsi"/>
        </w:rPr>
        <w:t>P</w:t>
      </w:r>
      <w:r w:rsidRPr="0007339C">
        <w:rPr>
          <w:rFonts w:cstheme="minorHAnsi"/>
        </w:rPr>
        <w:t>olicy shall be subject to review/changes as may be deemed necessary and in accordance with regulatory amendments from time to time.</w:t>
      </w:r>
    </w:p>
    <w:sectPr w:rsidR="007246A9" w:rsidRPr="009E026D" w:rsidSect="007F741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E5D72" w14:textId="77777777" w:rsidR="002D5F75" w:rsidRDefault="002D5F75" w:rsidP="0060079B">
      <w:r>
        <w:separator/>
      </w:r>
    </w:p>
  </w:endnote>
  <w:endnote w:type="continuationSeparator" w:id="0">
    <w:p w14:paraId="0ED0ADC1" w14:textId="77777777" w:rsidR="002D5F75" w:rsidRDefault="002D5F75" w:rsidP="0060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AE9C" w14:textId="7D1150A7" w:rsidR="00EB6415" w:rsidRPr="00B90E59" w:rsidRDefault="00EB6415" w:rsidP="002109BA">
    <w:pPr>
      <w:pStyle w:val="Footer"/>
      <w:jc w:val="both"/>
      <w:rPr>
        <w:i/>
        <w:iCs/>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51401" w14:textId="77777777" w:rsidR="002D5F75" w:rsidRDefault="002D5F75" w:rsidP="0060079B">
      <w:r>
        <w:separator/>
      </w:r>
    </w:p>
  </w:footnote>
  <w:footnote w:type="continuationSeparator" w:id="0">
    <w:p w14:paraId="0F433281" w14:textId="77777777" w:rsidR="002D5F75" w:rsidRDefault="002D5F75" w:rsidP="00600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46FD"/>
    <w:multiLevelType w:val="hybridMultilevel"/>
    <w:tmpl w:val="0714FF82"/>
    <w:name w:val="DocXtoolsCompanion_1"/>
    <w:lvl w:ilvl="0" w:tplc="4009000F">
      <w:start w:val="1"/>
      <w:numFmt w:val="decimal"/>
      <w:lvlText w:val="%1."/>
      <w:lvlJc w:val="left"/>
      <w:pPr>
        <w:ind w:left="644" w:hanging="360"/>
      </w:p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 w15:restartNumberingAfterBreak="0">
    <w:nsid w:val="0C8F062B"/>
    <w:multiLevelType w:val="hybridMultilevel"/>
    <w:tmpl w:val="A5F055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E6B4D4C"/>
    <w:multiLevelType w:val="hybridMultilevel"/>
    <w:tmpl w:val="9964F900"/>
    <w:name w:val="DocXtoolsCompanion_2"/>
    <w:lvl w:ilvl="0" w:tplc="3E329948">
      <w:start w:val="1"/>
      <w:numFmt w:val="decimal"/>
      <w:lvlText w:val="%1."/>
      <w:lvlJc w:val="left"/>
      <w:pPr>
        <w:ind w:left="360" w:hanging="360"/>
      </w:pPr>
      <w:rPr>
        <w:b w:val="0"/>
        <w:bCs w:val="0"/>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abstractNum w:abstractNumId="3" w15:restartNumberingAfterBreak="0">
    <w:nsid w:val="149A7C53"/>
    <w:multiLevelType w:val="hybridMultilevel"/>
    <w:tmpl w:val="7D7C8B20"/>
    <w:name w:val="DocXtoolsCompanion_3"/>
    <w:lvl w:ilvl="0" w:tplc="F0E4E410">
      <w:start w:val="1"/>
      <w:numFmt w:val="lowerRoman"/>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57543"/>
    <w:multiLevelType w:val="multilevel"/>
    <w:tmpl w:val="6B866178"/>
    <w:name w:val="DocXtoolsCompanion_4"/>
    <w:lvl w:ilvl="0">
      <w:start w:val="1"/>
      <w:numFmt w:val="upperRoman"/>
      <w:lvlText w:val="%1."/>
      <w:lvlJc w:val="right"/>
      <w:pPr>
        <w:tabs>
          <w:tab w:val="num" w:pos="720"/>
        </w:tabs>
        <w:ind w:left="720" w:hanging="360"/>
      </w:pPr>
      <w:rPr>
        <w:rFonts w:ascii="Times New Roman" w:hAnsi="Times New Roman" w:cs="Times New Roman" w:hint="default"/>
        <w:b/>
        <w:bCs/>
        <w:i w:val="0"/>
        <w:iCs w:val="0"/>
      </w:r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5" w15:restartNumberingAfterBreak="0">
    <w:nsid w:val="1FD737D6"/>
    <w:multiLevelType w:val="hybridMultilevel"/>
    <w:tmpl w:val="632E492C"/>
    <w:name w:val="DocXtoolsCompanion_5"/>
    <w:lvl w:ilvl="0" w:tplc="F10E5CCC">
      <w:start w:val="1"/>
      <w:numFmt w:val="lowerLetter"/>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0AA4923"/>
    <w:multiLevelType w:val="hybridMultilevel"/>
    <w:tmpl w:val="BBBCC7FC"/>
    <w:lvl w:ilvl="0" w:tplc="40090019">
      <w:start w:val="1"/>
      <w:numFmt w:val="lowerLetter"/>
      <w:lvlText w:val="%1."/>
      <w:lvlJc w:val="left"/>
      <w:pPr>
        <w:ind w:left="1080" w:hanging="72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7" w15:restartNumberingAfterBreak="0">
    <w:nsid w:val="23523959"/>
    <w:multiLevelType w:val="multilevel"/>
    <w:tmpl w:val="1D92C718"/>
    <w:name w:val="DocXtoolsCompanion_6"/>
    <w:lvl w:ilvl="0">
      <w:start w:val="1"/>
      <w:numFmt w:val="upperLetter"/>
      <w:lvlText w:val="%1."/>
      <w:lvlJc w:val="left"/>
      <w:pPr>
        <w:tabs>
          <w:tab w:val="num" w:pos="720"/>
        </w:tabs>
        <w:ind w:left="720" w:hanging="360"/>
      </w:pPr>
      <w:rPr>
        <w:rFonts w:ascii="Times New Roman" w:hAnsi="Times New Roman" w:cs="Times New Roman" w:hint="default"/>
        <w:b/>
        <w:bCs/>
        <w:i/>
        <w:iCs/>
        <w:u w:val="none"/>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8" w15:restartNumberingAfterBreak="0">
    <w:nsid w:val="295438C0"/>
    <w:multiLevelType w:val="hybridMultilevel"/>
    <w:tmpl w:val="C86EDE5A"/>
    <w:name w:val="DocXtoolsCompanion_7"/>
    <w:lvl w:ilvl="0" w:tplc="40090001">
      <w:start w:val="1"/>
      <w:numFmt w:val="bullet"/>
      <w:lvlText w:val=""/>
      <w:lvlJc w:val="left"/>
      <w:pPr>
        <w:ind w:left="1998" w:hanging="360"/>
      </w:pPr>
      <w:rPr>
        <w:rFonts w:ascii="Symbol" w:hAnsi="Symbol" w:hint="default"/>
      </w:rPr>
    </w:lvl>
    <w:lvl w:ilvl="1" w:tplc="40090003" w:tentative="1">
      <w:start w:val="1"/>
      <w:numFmt w:val="bullet"/>
      <w:lvlText w:val="o"/>
      <w:lvlJc w:val="left"/>
      <w:pPr>
        <w:ind w:left="2718" w:hanging="360"/>
      </w:pPr>
      <w:rPr>
        <w:rFonts w:ascii="Courier New" w:hAnsi="Courier New" w:cs="Courier New" w:hint="default"/>
      </w:rPr>
    </w:lvl>
    <w:lvl w:ilvl="2" w:tplc="40090005" w:tentative="1">
      <w:start w:val="1"/>
      <w:numFmt w:val="bullet"/>
      <w:lvlText w:val=""/>
      <w:lvlJc w:val="left"/>
      <w:pPr>
        <w:ind w:left="3438" w:hanging="360"/>
      </w:pPr>
      <w:rPr>
        <w:rFonts w:ascii="Wingdings" w:hAnsi="Wingdings" w:hint="default"/>
      </w:rPr>
    </w:lvl>
    <w:lvl w:ilvl="3" w:tplc="40090001" w:tentative="1">
      <w:start w:val="1"/>
      <w:numFmt w:val="bullet"/>
      <w:lvlText w:val=""/>
      <w:lvlJc w:val="left"/>
      <w:pPr>
        <w:ind w:left="4158" w:hanging="360"/>
      </w:pPr>
      <w:rPr>
        <w:rFonts w:ascii="Symbol" w:hAnsi="Symbol" w:hint="default"/>
      </w:rPr>
    </w:lvl>
    <w:lvl w:ilvl="4" w:tplc="40090003" w:tentative="1">
      <w:start w:val="1"/>
      <w:numFmt w:val="bullet"/>
      <w:lvlText w:val="o"/>
      <w:lvlJc w:val="left"/>
      <w:pPr>
        <w:ind w:left="4878" w:hanging="360"/>
      </w:pPr>
      <w:rPr>
        <w:rFonts w:ascii="Courier New" w:hAnsi="Courier New" w:cs="Courier New" w:hint="default"/>
      </w:rPr>
    </w:lvl>
    <w:lvl w:ilvl="5" w:tplc="40090005" w:tentative="1">
      <w:start w:val="1"/>
      <w:numFmt w:val="bullet"/>
      <w:lvlText w:val=""/>
      <w:lvlJc w:val="left"/>
      <w:pPr>
        <w:ind w:left="5598" w:hanging="360"/>
      </w:pPr>
      <w:rPr>
        <w:rFonts w:ascii="Wingdings" w:hAnsi="Wingdings" w:hint="default"/>
      </w:rPr>
    </w:lvl>
    <w:lvl w:ilvl="6" w:tplc="40090001" w:tentative="1">
      <w:start w:val="1"/>
      <w:numFmt w:val="bullet"/>
      <w:lvlText w:val=""/>
      <w:lvlJc w:val="left"/>
      <w:pPr>
        <w:ind w:left="6318" w:hanging="360"/>
      </w:pPr>
      <w:rPr>
        <w:rFonts w:ascii="Symbol" w:hAnsi="Symbol" w:hint="default"/>
      </w:rPr>
    </w:lvl>
    <w:lvl w:ilvl="7" w:tplc="40090003" w:tentative="1">
      <w:start w:val="1"/>
      <w:numFmt w:val="bullet"/>
      <w:lvlText w:val="o"/>
      <w:lvlJc w:val="left"/>
      <w:pPr>
        <w:ind w:left="7038" w:hanging="360"/>
      </w:pPr>
      <w:rPr>
        <w:rFonts w:ascii="Courier New" w:hAnsi="Courier New" w:cs="Courier New" w:hint="default"/>
      </w:rPr>
    </w:lvl>
    <w:lvl w:ilvl="8" w:tplc="40090005" w:tentative="1">
      <w:start w:val="1"/>
      <w:numFmt w:val="bullet"/>
      <w:lvlText w:val=""/>
      <w:lvlJc w:val="left"/>
      <w:pPr>
        <w:ind w:left="7758" w:hanging="360"/>
      </w:pPr>
      <w:rPr>
        <w:rFonts w:ascii="Wingdings" w:hAnsi="Wingdings" w:hint="default"/>
      </w:rPr>
    </w:lvl>
  </w:abstractNum>
  <w:abstractNum w:abstractNumId="9" w15:restartNumberingAfterBreak="0">
    <w:nsid w:val="2E220A89"/>
    <w:multiLevelType w:val="hybridMultilevel"/>
    <w:tmpl w:val="0714FF82"/>
    <w:name w:val="DocXtoolsCompanion_8"/>
    <w:lvl w:ilvl="0" w:tplc="4009000F">
      <w:start w:val="1"/>
      <w:numFmt w:val="decimal"/>
      <w:lvlText w:val="%1."/>
      <w:lvlJc w:val="left"/>
      <w:pPr>
        <w:ind w:left="644" w:hanging="360"/>
      </w:p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0" w15:restartNumberingAfterBreak="0">
    <w:nsid w:val="30FE3A9A"/>
    <w:multiLevelType w:val="hybridMultilevel"/>
    <w:tmpl w:val="D292D7F2"/>
    <w:lvl w:ilvl="0" w:tplc="AE8A7B26">
      <w:start w:val="1"/>
      <w:numFmt w:val="decimal"/>
      <w:lvlText w:val="%1."/>
      <w:lvlJc w:val="left"/>
      <w:pPr>
        <w:ind w:left="862" w:hanging="72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1" w15:restartNumberingAfterBreak="0">
    <w:nsid w:val="3230114C"/>
    <w:multiLevelType w:val="multilevel"/>
    <w:tmpl w:val="527821F6"/>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358D3127"/>
    <w:multiLevelType w:val="multilevel"/>
    <w:tmpl w:val="D2B2A518"/>
    <w:name w:val="DocXtoolsCompanion_9"/>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3C5428BE"/>
    <w:multiLevelType w:val="hybridMultilevel"/>
    <w:tmpl w:val="9132BA10"/>
    <w:name w:val="DocXtoolsCompanion_10"/>
    <w:lvl w:ilvl="0" w:tplc="4009000F">
      <w:start w:val="1"/>
      <w:numFmt w:val="decimal"/>
      <w:lvlText w:val="%1."/>
      <w:lvlJc w:val="left"/>
      <w:pPr>
        <w:ind w:left="644" w:hanging="360"/>
      </w:p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4" w15:restartNumberingAfterBreak="0">
    <w:nsid w:val="3DDD186E"/>
    <w:multiLevelType w:val="multilevel"/>
    <w:tmpl w:val="527821F6"/>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3F7D6BD0"/>
    <w:multiLevelType w:val="hybridMultilevel"/>
    <w:tmpl w:val="D898BE50"/>
    <w:name w:val="DocXtoolsCompanion_11"/>
    <w:lvl w:ilvl="0" w:tplc="9FC60B1C">
      <w:start w:val="1"/>
      <w:numFmt w:val="lowerRoman"/>
      <w:lvlText w:val="(%1)"/>
      <w:lvlJc w:val="left"/>
      <w:pPr>
        <w:ind w:left="1080" w:hanging="720"/>
      </w:pPr>
      <w:rPr>
        <w:rFonts w:ascii="Times New Roman" w:hAnsi="Times New Roman" w:cs="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0B52473"/>
    <w:multiLevelType w:val="hybridMultilevel"/>
    <w:tmpl w:val="2B7ED1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8662EF8"/>
    <w:multiLevelType w:val="hybridMultilevel"/>
    <w:tmpl w:val="12F0E296"/>
    <w:name w:val="DocXtoolsCompanion_12"/>
    <w:lvl w:ilvl="0" w:tplc="CC709C42">
      <w:start w:val="1"/>
      <w:numFmt w:val="lowerRoman"/>
      <w:lvlText w:val="(%1)"/>
      <w:lvlJc w:val="left"/>
      <w:pPr>
        <w:ind w:left="720" w:hanging="720"/>
      </w:pPr>
      <w:rPr>
        <w:rFonts w:eastAsia="Calibri" w:hint="default"/>
        <w:sz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8" w15:restartNumberingAfterBreak="0">
    <w:nsid w:val="4A306AC8"/>
    <w:multiLevelType w:val="multilevel"/>
    <w:tmpl w:val="BD88B032"/>
    <w:name w:val="DocXtoolsCompanion_13"/>
    <w:lvl w:ilvl="0">
      <w:start w:val="1"/>
      <w:numFmt w:val="upperRoman"/>
      <w:lvlText w:val="%1."/>
      <w:lvlJc w:val="right"/>
      <w:pPr>
        <w:tabs>
          <w:tab w:val="num" w:pos="720"/>
        </w:tabs>
        <w:ind w:left="720" w:hanging="360"/>
      </w:pPr>
      <w:rPr>
        <w:rFonts w:ascii="Times New Roman" w:hAnsi="Times New Roman" w:cs="Times New Roman" w:hint="default"/>
        <w:b/>
        <w:bCs/>
      </w:r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9" w15:restartNumberingAfterBreak="0">
    <w:nsid w:val="4B3868AC"/>
    <w:multiLevelType w:val="multilevel"/>
    <w:tmpl w:val="BD88B032"/>
    <w:name w:val="DocXtoolsCompanion_14"/>
    <w:lvl w:ilvl="0">
      <w:start w:val="1"/>
      <w:numFmt w:val="upperRoman"/>
      <w:lvlText w:val="%1."/>
      <w:lvlJc w:val="right"/>
      <w:pPr>
        <w:tabs>
          <w:tab w:val="num" w:pos="720"/>
        </w:tabs>
        <w:ind w:left="720" w:hanging="360"/>
      </w:pPr>
      <w:rPr>
        <w:rFonts w:ascii="Times New Roman" w:hAnsi="Times New Roman" w:cs="Times New Roman" w:hint="default"/>
        <w:b/>
        <w:bCs/>
      </w:r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0" w15:restartNumberingAfterBreak="0">
    <w:nsid w:val="4FBB7BE3"/>
    <w:multiLevelType w:val="hybridMultilevel"/>
    <w:tmpl w:val="A614B526"/>
    <w:lvl w:ilvl="0" w:tplc="576A1A5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18878E7"/>
    <w:multiLevelType w:val="multilevel"/>
    <w:tmpl w:val="527821F6"/>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2" w15:restartNumberingAfterBreak="0">
    <w:nsid w:val="6FC06826"/>
    <w:multiLevelType w:val="multilevel"/>
    <w:tmpl w:val="527821F6"/>
    <w:name w:val="DocXtoolsCompanion_15"/>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3" w15:restartNumberingAfterBreak="0">
    <w:nsid w:val="72F90B44"/>
    <w:multiLevelType w:val="hybridMultilevel"/>
    <w:tmpl w:val="0714FF82"/>
    <w:name w:val="DocXtoolsCompanion_16"/>
    <w:lvl w:ilvl="0" w:tplc="4009000F">
      <w:start w:val="1"/>
      <w:numFmt w:val="decimal"/>
      <w:lvlText w:val="%1."/>
      <w:lvlJc w:val="left"/>
      <w:pPr>
        <w:ind w:left="644" w:hanging="360"/>
      </w:p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4" w15:restartNumberingAfterBreak="0">
    <w:nsid w:val="73F1409A"/>
    <w:multiLevelType w:val="hybridMultilevel"/>
    <w:tmpl w:val="43DA55D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5" w15:restartNumberingAfterBreak="0">
    <w:nsid w:val="7CDC5EEC"/>
    <w:multiLevelType w:val="multilevel"/>
    <w:tmpl w:val="527821F6"/>
    <w:name w:val="DocXtoolsCompanion_17"/>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2562874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7403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8009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0467955">
    <w:abstractNumId w:val="9"/>
  </w:num>
  <w:num w:numId="5" w16cid:durableId="247202455">
    <w:abstractNumId w:val="2"/>
  </w:num>
  <w:num w:numId="6" w16cid:durableId="1982684061">
    <w:abstractNumId w:val="15"/>
  </w:num>
  <w:num w:numId="7" w16cid:durableId="725488362">
    <w:abstractNumId w:val="3"/>
  </w:num>
  <w:num w:numId="8" w16cid:durableId="1059861813">
    <w:abstractNumId w:val="17"/>
  </w:num>
  <w:num w:numId="9" w16cid:durableId="1399591490">
    <w:abstractNumId w:val="13"/>
  </w:num>
  <w:num w:numId="10" w16cid:durableId="1461849595">
    <w:abstractNumId w:val="23"/>
  </w:num>
  <w:num w:numId="11" w16cid:durableId="1066873955">
    <w:abstractNumId w:val="0"/>
  </w:num>
  <w:num w:numId="12" w16cid:durableId="923878282">
    <w:abstractNumId w:val="25"/>
  </w:num>
  <w:num w:numId="13" w16cid:durableId="1902711351">
    <w:abstractNumId w:val="12"/>
  </w:num>
  <w:num w:numId="14" w16cid:durableId="1024096307">
    <w:abstractNumId w:val="18"/>
  </w:num>
  <w:num w:numId="15" w16cid:durableId="1817642754">
    <w:abstractNumId w:val="8"/>
  </w:num>
  <w:num w:numId="16" w16cid:durableId="1912735919">
    <w:abstractNumId w:val="5"/>
  </w:num>
  <w:num w:numId="17" w16cid:durableId="1368070924">
    <w:abstractNumId w:val="19"/>
  </w:num>
  <w:num w:numId="18" w16cid:durableId="584605227">
    <w:abstractNumId w:val="11"/>
  </w:num>
  <w:num w:numId="19" w16cid:durableId="519664770">
    <w:abstractNumId w:val="21"/>
  </w:num>
  <w:num w:numId="20" w16cid:durableId="2009365611">
    <w:abstractNumId w:val="14"/>
  </w:num>
  <w:num w:numId="21" w16cid:durableId="202864769">
    <w:abstractNumId w:val="16"/>
  </w:num>
  <w:num w:numId="22" w16cid:durableId="1870294922">
    <w:abstractNumId w:val="10"/>
  </w:num>
  <w:num w:numId="23" w16cid:durableId="687870756">
    <w:abstractNumId w:val="1"/>
  </w:num>
  <w:num w:numId="24" w16cid:durableId="1309439274">
    <w:abstractNumId w:val="24"/>
  </w:num>
  <w:num w:numId="25" w16cid:durableId="19966886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4304953">
    <w:abstractNumId w:val="6"/>
  </w:num>
  <w:num w:numId="27" w16cid:durableId="14175569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3FD"/>
    <w:rsid w:val="0000404B"/>
    <w:rsid w:val="000158CC"/>
    <w:rsid w:val="00024A26"/>
    <w:rsid w:val="00025D32"/>
    <w:rsid w:val="00030D1E"/>
    <w:rsid w:val="00032408"/>
    <w:rsid w:val="00032D10"/>
    <w:rsid w:val="00036901"/>
    <w:rsid w:val="00036DD9"/>
    <w:rsid w:val="000474C7"/>
    <w:rsid w:val="00047A6A"/>
    <w:rsid w:val="0005013E"/>
    <w:rsid w:val="000560FD"/>
    <w:rsid w:val="000579FC"/>
    <w:rsid w:val="000622D6"/>
    <w:rsid w:val="00064D85"/>
    <w:rsid w:val="00070352"/>
    <w:rsid w:val="00073D2F"/>
    <w:rsid w:val="000819C4"/>
    <w:rsid w:val="000903B3"/>
    <w:rsid w:val="00094D9D"/>
    <w:rsid w:val="000A121F"/>
    <w:rsid w:val="000A4BB9"/>
    <w:rsid w:val="000A6E39"/>
    <w:rsid w:val="000B02F8"/>
    <w:rsid w:val="000C2A6A"/>
    <w:rsid w:val="000C4965"/>
    <w:rsid w:val="000C629E"/>
    <w:rsid w:val="000D356D"/>
    <w:rsid w:val="000D4419"/>
    <w:rsid w:val="000D55F5"/>
    <w:rsid w:val="000D584F"/>
    <w:rsid w:val="000D6E93"/>
    <w:rsid w:val="000E0BCE"/>
    <w:rsid w:val="000F5776"/>
    <w:rsid w:val="000F6136"/>
    <w:rsid w:val="0010071B"/>
    <w:rsid w:val="00100E64"/>
    <w:rsid w:val="00105754"/>
    <w:rsid w:val="0010611F"/>
    <w:rsid w:val="0011431B"/>
    <w:rsid w:val="0011499B"/>
    <w:rsid w:val="00115A27"/>
    <w:rsid w:val="00115A4E"/>
    <w:rsid w:val="00116E27"/>
    <w:rsid w:val="0012045B"/>
    <w:rsid w:val="00131DD2"/>
    <w:rsid w:val="0013628B"/>
    <w:rsid w:val="00137863"/>
    <w:rsid w:val="00140654"/>
    <w:rsid w:val="00144280"/>
    <w:rsid w:val="00145555"/>
    <w:rsid w:val="00152B9E"/>
    <w:rsid w:val="00154171"/>
    <w:rsid w:val="00171A48"/>
    <w:rsid w:val="00173CE9"/>
    <w:rsid w:val="001767D2"/>
    <w:rsid w:val="00181808"/>
    <w:rsid w:val="0018184B"/>
    <w:rsid w:val="00183A0B"/>
    <w:rsid w:val="001961F9"/>
    <w:rsid w:val="00196B4C"/>
    <w:rsid w:val="001A136F"/>
    <w:rsid w:val="001A4FA6"/>
    <w:rsid w:val="001B0719"/>
    <w:rsid w:val="001B08B4"/>
    <w:rsid w:val="001B37C9"/>
    <w:rsid w:val="001C3817"/>
    <w:rsid w:val="001C779A"/>
    <w:rsid w:val="001D513F"/>
    <w:rsid w:val="001E0AF5"/>
    <w:rsid w:val="001E60F7"/>
    <w:rsid w:val="001E7B50"/>
    <w:rsid w:val="001F0783"/>
    <w:rsid w:val="001F144B"/>
    <w:rsid w:val="001F1678"/>
    <w:rsid w:val="001F20EC"/>
    <w:rsid w:val="001F37AC"/>
    <w:rsid w:val="00202007"/>
    <w:rsid w:val="00203CF7"/>
    <w:rsid w:val="00203F1B"/>
    <w:rsid w:val="00205BFD"/>
    <w:rsid w:val="002109BA"/>
    <w:rsid w:val="00214BD3"/>
    <w:rsid w:val="0022187B"/>
    <w:rsid w:val="00224450"/>
    <w:rsid w:val="00234E70"/>
    <w:rsid w:val="00242DDF"/>
    <w:rsid w:val="00262F2E"/>
    <w:rsid w:val="00266CD7"/>
    <w:rsid w:val="00283473"/>
    <w:rsid w:val="002847BC"/>
    <w:rsid w:val="00285222"/>
    <w:rsid w:val="00286122"/>
    <w:rsid w:val="00291A3A"/>
    <w:rsid w:val="002925CD"/>
    <w:rsid w:val="002949B3"/>
    <w:rsid w:val="00295F3B"/>
    <w:rsid w:val="002A5019"/>
    <w:rsid w:val="002A79B0"/>
    <w:rsid w:val="002C338C"/>
    <w:rsid w:val="002C50D4"/>
    <w:rsid w:val="002D35FA"/>
    <w:rsid w:val="002D3C52"/>
    <w:rsid w:val="002D45BD"/>
    <w:rsid w:val="002D5F75"/>
    <w:rsid w:val="002E3DFD"/>
    <w:rsid w:val="002E5B3B"/>
    <w:rsid w:val="002E60B6"/>
    <w:rsid w:val="002F4226"/>
    <w:rsid w:val="002F4ED3"/>
    <w:rsid w:val="002F70E4"/>
    <w:rsid w:val="002F72E5"/>
    <w:rsid w:val="003074DD"/>
    <w:rsid w:val="00313BC5"/>
    <w:rsid w:val="0031649F"/>
    <w:rsid w:val="00320608"/>
    <w:rsid w:val="003215DA"/>
    <w:rsid w:val="003301D7"/>
    <w:rsid w:val="00333771"/>
    <w:rsid w:val="00336B7D"/>
    <w:rsid w:val="00340E11"/>
    <w:rsid w:val="003438C8"/>
    <w:rsid w:val="00343AF6"/>
    <w:rsid w:val="00344534"/>
    <w:rsid w:val="00344DCD"/>
    <w:rsid w:val="00347B62"/>
    <w:rsid w:val="00355880"/>
    <w:rsid w:val="00356EE3"/>
    <w:rsid w:val="00360C70"/>
    <w:rsid w:val="003611CF"/>
    <w:rsid w:val="00361F86"/>
    <w:rsid w:val="00363917"/>
    <w:rsid w:val="00365FAB"/>
    <w:rsid w:val="003667F5"/>
    <w:rsid w:val="00370706"/>
    <w:rsid w:val="00371346"/>
    <w:rsid w:val="0037170D"/>
    <w:rsid w:val="00371E47"/>
    <w:rsid w:val="003732EF"/>
    <w:rsid w:val="00383F67"/>
    <w:rsid w:val="00391345"/>
    <w:rsid w:val="003926B7"/>
    <w:rsid w:val="00394C90"/>
    <w:rsid w:val="0039520B"/>
    <w:rsid w:val="003B42B8"/>
    <w:rsid w:val="003B58ED"/>
    <w:rsid w:val="003B60C0"/>
    <w:rsid w:val="003B7001"/>
    <w:rsid w:val="003B7C54"/>
    <w:rsid w:val="003C0036"/>
    <w:rsid w:val="003C1158"/>
    <w:rsid w:val="003D042B"/>
    <w:rsid w:val="003D7DEC"/>
    <w:rsid w:val="003E26BB"/>
    <w:rsid w:val="003E4E4A"/>
    <w:rsid w:val="003E6517"/>
    <w:rsid w:val="003E7917"/>
    <w:rsid w:val="003F0064"/>
    <w:rsid w:val="003F41D4"/>
    <w:rsid w:val="003F4F65"/>
    <w:rsid w:val="003F4FE7"/>
    <w:rsid w:val="00412D59"/>
    <w:rsid w:val="00417DAD"/>
    <w:rsid w:val="00425884"/>
    <w:rsid w:val="004345E8"/>
    <w:rsid w:val="00446BE0"/>
    <w:rsid w:val="00455B82"/>
    <w:rsid w:val="004565C1"/>
    <w:rsid w:val="00460CFE"/>
    <w:rsid w:val="00463005"/>
    <w:rsid w:val="004635BC"/>
    <w:rsid w:val="0047023E"/>
    <w:rsid w:val="004735D3"/>
    <w:rsid w:val="00473677"/>
    <w:rsid w:val="0048595F"/>
    <w:rsid w:val="004859E3"/>
    <w:rsid w:val="00487BF1"/>
    <w:rsid w:val="00492A89"/>
    <w:rsid w:val="00492D8E"/>
    <w:rsid w:val="00496A00"/>
    <w:rsid w:val="004A10C6"/>
    <w:rsid w:val="004A244E"/>
    <w:rsid w:val="004B1378"/>
    <w:rsid w:val="004B2646"/>
    <w:rsid w:val="004B531D"/>
    <w:rsid w:val="004C301D"/>
    <w:rsid w:val="004C5ADB"/>
    <w:rsid w:val="004C6707"/>
    <w:rsid w:val="004D1270"/>
    <w:rsid w:val="004D2B38"/>
    <w:rsid w:val="004D2F3C"/>
    <w:rsid w:val="004D61E5"/>
    <w:rsid w:val="004D7CBB"/>
    <w:rsid w:val="004E04D6"/>
    <w:rsid w:val="004E247C"/>
    <w:rsid w:val="004E3460"/>
    <w:rsid w:val="004E3C17"/>
    <w:rsid w:val="004E3FCE"/>
    <w:rsid w:val="004F128F"/>
    <w:rsid w:val="004F1FAD"/>
    <w:rsid w:val="004F5E67"/>
    <w:rsid w:val="00500BE9"/>
    <w:rsid w:val="00505358"/>
    <w:rsid w:val="005118F2"/>
    <w:rsid w:val="0051279A"/>
    <w:rsid w:val="005156F3"/>
    <w:rsid w:val="00515BCE"/>
    <w:rsid w:val="0052475D"/>
    <w:rsid w:val="00530DBD"/>
    <w:rsid w:val="00532636"/>
    <w:rsid w:val="00533456"/>
    <w:rsid w:val="0053532C"/>
    <w:rsid w:val="0053535A"/>
    <w:rsid w:val="00535A19"/>
    <w:rsid w:val="005428B5"/>
    <w:rsid w:val="005457A4"/>
    <w:rsid w:val="005515E6"/>
    <w:rsid w:val="0055452C"/>
    <w:rsid w:val="00564CFD"/>
    <w:rsid w:val="00565280"/>
    <w:rsid w:val="00572745"/>
    <w:rsid w:val="0058083A"/>
    <w:rsid w:val="00582DBB"/>
    <w:rsid w:val="005862F6"/>
    <w:rsid w:val="00591BFC"/>
    <w:rsid w:val="00593EE0"/>
    <w:rsid w:val="00595E75"/>
    <w:rsid w:val="005A413B"/>
    <w:rsid w:val="005A49D2"/>
    <w:rsid w:val="005A69D5"/>
    <w:rsid w:val="005B2255"/>
    <w:rsid w:val="005B417A"/>
    <w:rsid w:val="005B41B0"/>
    <w:rsid w:val="005B4F84"/>
    <w:rsid w:val="005B500F"/>
    <w:rsid w:val="005B61B2"/>
    <w:rsid w:val="005B7E9B"/>
    <w:rsid w:val="005C3552"/>
    <w:rsid w:val="005C47B4"/>
    <w:rsid w:val="005C501F"/>
    <w:rsid w:val="005D071E"/>
    <w:rsid w:val="005D0D31"/>
    <w:rsid w:val="005D5882"/>
    <w:rsid w:val="005D602F"/>
    <w:rsid w:val="005E4AF4"/>
    <w:rsid w:val="005E59B5"/>
    <w:rsid w:val="005F6753"/>
    <w:rsid w:val="0060079B"/>
    <w:rsid w:val="006035C3"/>
    <w:rsid w:val="00607361"/>
    <w:rsid w:val="0060760A"/>
    <w:rsid w:val="0061431A"/>
    <w:rsid w:val="00620676"/>
    <w:rsid w:val="00623886"/>
    <w:rsid w:val="00626436"/>
    <w:rsid w:val="00630339"/>
    <w:rsid w:val="006336A2"/>
    <w:rsid w:val="0063411F"/>
    <w:rsid w:val="0063630D"/>
    <w:rsid w:val="00636CDE"/>
    <w:rsid w:val="006465C9"/>
    <w:rsid w:val="00647691"/>
    <w:rsid w:val="00654B76"/>
    <w:rsid w:val="00656ADD"/>
    <w:rsid w:val="0066040C"/>
    <w:rsid w:val="006614BB"/>
    <w:rsid w:val="0067296B"/>
    <w:rsid w:val="0067510D"/>
    <w:rsid w:val="00675506"/>
    <w:rsid w:val="00677957"/>
    <w:rsid w:val="00681682"/>
    <w:rsid w:val="00681FAD"/>
    <w:rsid w:val="0068337A"/>
    <w:rsid w:val="00694B25"/>
    <w:rsid w:val="006A0A76"/>
    <w:rsid w:val="006A5289"/>
    <w:rsid w:val="006B31E0"/>
    <w:rsid w:val="006C1F5D"/>
    <w:rsid w:val="006C220C"/>
    <w:rsid w:val="006C3FCB"/>
    <w:rsid w:val="006C5288"/>
    <w:rsid w:val="006C5B3D"/>
    <w:rsid w:val="006C7920"/>
    <w:rsid w:val="006D0D5E"/>
    <w:rsid w:val="006D2575"/>
    <w:rsid w:val="006D337C"/>
    <w:rsid w:val="006D498B"/>
    <w:rsid w:val="006D4AF6"/>
    <w:rsid w:val="006D645C"/>
    <w:rsid w:val="006E29D9"/>
    <w:rsid w:val="006F4EB4"/>
    <w:rsid w:val="006F79A8"/>
    <w:rsid w:val="007118F0"/>
    <w:rsid w:val="00717DDB"/>
    <w:rsid w:val="00721B84"/>
    <w:rsid w:val="00724281"/>
    <w:rsid w:val="007246A9"/>
    <w:rsid w:val="007314DA"/>
    <w:rsid w:val="00737B2F"/>
    <w:rsid w:val="00745AC9"/>
    <w:rsid w:val="007515C8"/>
    <w:rsid w:val="007576BE"/>
    <w:rsid w:val="00765402"/>
    <w:rsid w:val="00765E89"/>
    <w:rsid w:val="007773C4"/>
    <w:rsid w:val="00782192"/>
    <w:rsid w:val="007A2B99"/>
    <w:rsid w:val="007A78E5"/>
    <w:rsid w:val="007B7FB0"/>
    <w:rsid w:val="007C4EC9"/>
    <w:rsid w:val="007C50B8"/>
    <w:rsid w:val="007C7D9E"/>
    <w:rsid w:val="007D03AD"/>
    <w:rsid w:val="007D0A04"/>
    <w:rsid w:val="007D2598"/>
    <w:rsid w:val="007D3542"/>
    <w:rsid w:val="007D4404"/>
    <w:rsid w:val="007D5E24"/>
    <w:rsid w:val="007E683F"/>
    <w:rsid w:val="007F1090"/>
    <w:rsid w:val="007F10AD"/>
    <w:rsid w:val="007F4768"/>
    <w:rsid w:val="007F4C85"/>
    <w:rsid w:val="007F5F6D"/>
    <w:rsid w:val="007F7413"/>
    <w:rsid w:val="00800A23"/>
    <w:rsid w:val="00803867"/>
    <w:rsid w:val="00806A79"/>
    <w:rsid w:val="00815743"/>
    <w:rsid w:val="0082613F"/>
    <w:rsid w:val="00833E2E"/>
    <w:rsid w:val="00835D2E"/>
    <w:rsid w:val="00836D14"/>
    <w:rsid w:val="00840158"/>
    <w:rsid w:val="00840B39"/>
    <w:rsid w:val="00841938"/>
    <w:rsid w:val="00842138"/>
    <w:rsid w:val="00851F7C"/>
    <w:rsid w:val="008525B1"/>
    <w:rsid w:val="00852EDD"/>
    <w:rsid w:val="00865939"/>
    <w:rsid w:val="00871514"/>
    <w:rsid w:val="00874878"/>
    <w:rsid w:val="00875E1C"/>
    <w:rsid w:val="00880851"/>
    <w:rsid w:val="00882A32"/>
    <w:rsid w:val="008848EB"/>
    <w:rsid w:val="00884979"/>
    <w:rsid w:val="008854F9"/>
    <w:rsid w:val="00886D97"/>
    <w:rsid w:val="0089208A"/>
    <w:rsid w:val="00892B84"/>
    <w:rsid w:val="008A01EB"/>
    <w:rsid w:val="008A0FE3"/>
    <w:rsid w:val="008A5275"/>
    <w:rsid w:val="008A78B5"/>
    <w:rsid w:val="008B07EF"/>
    <w:rsid w:val="008B3416"/>
    <w:rsid w:val="008B743C"/>
    <w:rsid w:val="008B75CC"/>
    <w:rsid w:val="008D0313"/>
    <w:rsid w:val="008D1F06"/>
    <w:rsid w:val="008D2FBF"/>
    <w:rsid w:val="008D5D17"/>
    <w:rsid w:val="008D6041"/>
    <w:rsid w:val="008D694A"/>
    <w:rsid w:val="008E1068"/>
    <w:rsid w:val="008E148A"/>
    <w:rsid w:val="008E7AC0"/>
    <w:rsid w:val="008F0E1C"/>
    <w:rsid w:val="008F65C9"/>
    <w:rsid w:val="008F68FE"/>
    <w:rsid w:val="008F7459"/>
    <w:rsid w:val="00905DF7"/>
    <w:rsid w:val="00913935"/>
    <w:rsid w:val="00914666"/>
    <w:rsid w:val="0091665A"/>
    <w:rsid w:val="0092001C"/>
    <w:rsid w:val="00921EB6"/>
    <w:rsid w:val="00925700"/>
    <w:rsid w:val="00935971"/>
    <w:rsid w:val="0093618E"/>
    <w:rsid w:val="00936A6A"/>
    <w:rsid w:val="00940C21"/>
    <w:rsid w:val="00941005"/>
    <w:rsid w:val="00942B6E"/>
    <w:rsid w:val="009460F0"/>
    <w:rsid w:val="0094670E"/>
    <w:rsid w:val="009530CB"/>
    <w:rsid w:val="00953AE8"/>
    <w:rsid w:val="00964F3E"/>
    <w:rsid w:val="00964FF0"/>
    <w:rsid w:val="00966718"/>
    <w:rsid w:val="009803FD"/>
    <w:rsid w:val="00983BA4"/>
    <w:rsid w:val="0099117D"/>
    <w:rsid w:val="00991511"/>
    <w:rsid w:val="009942C0"/>
    <w:rsid w:val="00997DA5"/>
    <w:rsid w:val="009A050F"/>
    <w:rsid w:val="009A407E"/>
    <w:rsid w:val="009B2125"/>
    <w:rsid w:val="009B2A68"/>
    <w:rsid w:val="009B543C"/>
    <w:rsid w:val="009C23C2"/>
    <w:rsid w:val="009C426B"/>
    <w:rsid w:val="009D5404"/>
    <w:rsid w:val="009E203B"/>
    <w:rsid w:val="009E582A"/>
    <w:rsid w:val="009F230F"/>
    <w:rsid w:val="00A00FB7"/>
    <w:rsid w:val="00A050E2"/>
    <w:rsid w:val="00A12866"/>
    <w:rsid w:val="00A12EC9"/>
    <w:rsid w:val="00A14A4F"/>
    <w:rsid w:val="00A2058B"/>
    <w:rsid w:val="00A22729"/>
    <w:rsid w:val="00A26A53"/>
    <w:rsid w:val="00A30FAD"/>
    <w:rsid w:val="00A322D9"/>
    <w:rsid w:val="00A4118A"/>
    <w:rsid w:val="00A437E3"/>
    <w:rsid w:val="00A448E4"/>
    <w:rsid w:val="00A44C70"/>
    <w:rsid w:val="00A471CA"/>
    <w:rsid w:val="00A527AD"/>
    <w:rsid w:val="00A560F7"/>
    <w:rsid w:val="00A565E6"/>
    <w:rsid w:val="00A665BE"/>
    <w:rsid w:val="00A76342"/>
    <w:rsid w:val="00A76CF1"/>
    <w:rsid w:val="00A81319"/>
    <w:rsid w:val="00A81628"/>
    <w:rsid w:val="00A81BBB"/>
    <w:rsid w:val="00A837FC"/>
    <w:rsid w:val="00A85728"/>
    <w:rsid w:val="00A87C3C"/>
    <w:rsid w:val="00A90E88"/>
    <w:rsid w:val="00AA1488"/>
    <w:rsid w:val="00AB1D39"/>
    <w:rsid w:val="00AB2CA7"/>
    <w:rsid w:val="00AB5EAF"/>
    <w:rsid w:val="00AC07B4"/>
    <w:rsid w:val="00AC27E5"/>
    <w:rsid w:val="00AE3358"/>
    <w:rsid w:val="00AE46AE"/>
    <w:rsid w:val="00AE50C8"/>
    <w:rsid w:val="00AF31D0"/>
    <w:rsid w:val="00B002DC"/>
    <w:rsid w:val="00B00D24"/>
    <w:rsid w:val="00B101A7"/>
    <w:rsid w:val="00B13EE5"/>
    <w:rsid w:val="00B15756"/>
    <w:rsid w:val="00B16CC1"/>
    <w:rsid w:val="00B25451"/>
    <w:rsid w:val="00B339B4"/>
    <w:rsid w:val="00B35F58"/>
    <w:rsid w:val="00B40147"/>
    <w:rsid w:val="00B5265B"/>
    <w:rsid w:val="00B53FFD"/>
    <w:rsid w:val="00B561F4"/>
    <w:rsid w:val="00B57B9A"/>
    <w:rsid w:val="00B627F2"/>
    <w:rsid w:val="00B643C8"/>
    <w:rsid w:val="00B6577B"/>
    <w:rsid w:val="00B72A61"/>
    <w:rsid w:val="00B777DE"/>
    <w:rsid w:val="00B77B36"/>
    <w:rsid w:val="00B83F33"/>
    <w:rsid w:val="00B87400"/>
    <w:rsid w:val="00B90E59"/>
    <w:rsid w:val="00B96D98"/>
    <w:rsid w:val="00BA7036"/>
    <w:rsid w:val="00BB237E"/>
    <w:rsid w:val="00BB2C1F"/>
    <w:rsid w:val="00BB2C88"/>
    <w:rsid w:val="00BB3CCA"/>
    <w:rsid w:val="00BB68F1"/>
    <w:rsid w:val="00BB7605"/>
    <w:rsid w:val="00BC0A2A"/>
    <w:rsid w:val="00BC5894"/>
    <w:rsid w:val="00BC6E2B"/>
    <w:rsid w:val="00BD5F59"/>
    <w:rsid w:val="00BD79FE"/>
    <w:rsid w:val="00BE05F3"/>
    <w:rsid w:val="00BE1603"/>
    <w:rsid w:val="00BE1636"/>
    <w:rsid w:val="00BE4C52"/>
    <w:rsid w:val="00BE62FA"/>
    <w:rsid w:val="00BF1792"/>
    <w:rsid w:val="00BF1F70"/>
    <w:rsid w:val="00BF21B9"/>
    <w:rsid w:val="00BF431F"/>
    <w:rsid w:val="00BF5F77"/>
    <w:rsid w:val="00C01492"/>
    <w:rsid w:val="00C05BA8"/>
    <w:rsid w:val="00C10BD6"/>
    <w:rsid w:val="00C11695"/>
    <w:rsid w:val="00C1310E"/>
    <w:rsid w:val="00C21C9C"/>
    <w:rsid w:val="00C222E4"/>
    <w:rsid w:val="00C24C73"/>
    <w:rsid w:val="00C26295"/>
    <w:rsid w:val="00C30F89"/>
    <w:rsid w:val="00C310C4"/>
    <w:rsid w:val="00C44A25"/>
    <w:rsid w:val="00C51BEC"/>
    <w:rsid w:val="00C61917"/>
    <w:rsid w:val="00C639A3"/>
    <w:rsid w:val="00C708AC"/>
    <w:rsid w:val="00C740B4"/>
    <w:rsid w:val="00C7595A"/>
    <w:rsid w:val="00C80C0B"/>
    <w:rsid w:val="00C95D16"/>
    <w:rsid w:val="00CC242B"/>
    <w:rsid w:val="00CD5A84"/>
    <w:rsid w:val="00CD7A17"/>
    <w:rsid w:val="00CE1A89"/>
    <w:rsid w:val="00CE2519"/>
    <w:rsid w:val="00CE5CD0"/>
    <w:rsid w:val="00CF0F8C"/>
    <w:rsid w:val="00CF18FA"/>
    <w:rsid w:val="00D040F7"/>
    <w:rsid w:val="00D0534F"/>
    <w:rsid w:val="00D06868"/>
    <w:rsid w:val="00D109AA"/>
    <w:rsid w:val="00D11248"/>
    <w:rsid w:val="00D1170C"/>
    <w:rsid w:val="00D12F2A"/>
    <w:rsid w:val="00D15127"/>
    <w:rsid w:val="00D15A0E"/>
    <w:rsid w:val="00D16E43"/>
    <w:rsid w:val="00D26B69"/>
    <w:rsid w:val="00D318B2"/>
    <w:rsid w:val="00D330FE"/>
    <w:rsid w:val="00D45978"/>
    <w:rsid w:val="00D5509B"/>
    <w:rsid w:val="00D5621A"/>
    <w:rsid w:val="00D622A6"/>
    <w:rsid w:val="00D632FA"/>
    <w:rsid w:val="00D63438"/>
    <w:rsid w:val="00D653C9"/>
    <w:rsid w:val="00D72099"/>
    <w:rsid w:val="00D73324"/>
    <w:rsid w:val="00D76312"/>
    <w:rsid w:val="00D806B8"/>
    <w:rsid w:val="00D9134A"/>
    <w:rsid w:val="00D94F3C"/>
    <w:rsid w:val="00D97849"/>
    <w:rsid w:val="00DA0E18"/>
    <w:rsid w:val="00DA217C"/>
    <w:rsid w:val="00DB0615"/>
    <w:rsid w:val="00DC5AEF"/>
    <w:rsid w:val="00DD2C4B"/>
    <w:rsid w:val="00DD6EE5"/>
    <w:rsid w:val="00DE5A51"/>
    <w:rsid w:val="00DE5D11"/>
    <w:rsid w:val="00DF1053"/>
    <w:rsid w:val="00DF16DC"/>
    <w:rsid w:val="00DF2298"/>
    <w:rsid w:val="00DF42E3"/>
    <w:rsid w:val="00DF4AAE"/>
    <w:rsid w:val="00DF69B8"/>
    <w:rsid w:val="00E0318B"/>
    <w:rsid w:val="00E04C77"/>
    <w:rsid w:val="00E077C8"/>
    <w:rsid w:val="00E11FA0"/>
    <w:rsid w:val="00E22C46"/>
    <w:rsid w:val="00E23C94"/>
    <w:rsid w:val="00E25524"/>
    <w:rsid w:val="00E255F2"/>
    <w:rsid w:val="00E26FCD"/>
    <w:rsid w:val="00E30F01"/>
    <w:rsid w:val="00E40F45"/>
    <w:rsid w:val="00E433FF"/>
    <w:rsid w:val="00E46D8D"/>
    <w:rsid w:val="00E54F88"/>
    <w:rsid w:val="00E57C2F"/>
    <w:rsid w:val="00E60F00"/>
    <w:rsid w:val="00E62FDC"/>
    <w:rsid w:val="00E65FDD"/>
    <w:rsid w:val="00E90DCA"/>
    <w:rsid w:val="00E920D9"/>
    <w:rsid w:val="00E9537C"/>
    <w:rsid w:val="00E953FA"/>
    <w:rsid w:val="00E975F4"/>
    <w:rsid w:val="00EA1A63"/>
    <w:rsid w:val="00EA1C32"/>
    <w:rsid w:val="00EA412F"/>
    <w:rsid w:val="00EA5945"/>
    <w:rsid w:val="00EB1819"/>
    <w:rsid w:val="00EB5068"/>
    <w:rsid w:val="00EB6415"/>
    <w:rsid w:val="00EC129C"/>
    <w:rsid w:val="00EC227E"/>
    <w:rsid w:val="00EC2DE5"/>
    <w:rsid w:val="00ED20D1"/>
    <w:rsid w:val="00ED2FB8"/>
    <w:rsid w:val="00EE082D"/>
    <w:rsid w:val="00EE30EA"/>
    <w:rsid w:val="00EE50C1"/>
    <w:rsid w:val="00EE5A91"/>
    <w:rsid w:val="00EE6A54"/>
    <w:rsid w:val="00EF2786"/>
    <w:rsid w:val="00F003E9"/>
    <w:rsid w:val="00F01885"/>
    <w:rsid w:val="00F02513"/>
    <w:rsid w:val="00F05608"/>
    <w:rsid w:val="00F106F2"/>
    <w:rsid w:val="00F10DE6"/>
    <w:rsid w:val="00F226D1"/>
    <w:rsid w:val="00F230E3"/>
    <w:rsid w:val="00F23248"/>
    <w:rsid w:val="00F24B55"/>
    <w:rsid w:val="00F40AD2"/>
    <w:rsid w:val="00F41699"/>
    <w:rsid w:val="00F4719B"/>
    <w:rsid w:val="00F5096D"/>
    <w:rsid w:val="00F5290A"/>
    <w:rsid w:val="00F52B36"/>
    <w:rsid w:val="00F611D4"/>
    <w:rsid w:val="00F62EA5"/>
    <w:rsid w:val="00F65528"/>
    <w:rsid w:val="00F67E93"/>
    <w:rsid w:val="00F75029"/>
    <w:rsid w:val="00F850A4"/>
    <w:rsid w:val="00F86C8E"/>
    <w:rsid w:val="00F87473"/>
    <w:rsid w:val="00F876D0"/>
    <w:rsid w:val="00F93070"/>
    <w:rsid w:val="00F949E0"/>
    <w:rsid w:val="00FA4662"/>
    <w:rsid w:val="00FA51D6"/>
    <w:rsid w:val="00FA55DD"/>
    <w:rsid w:val="00FB021A"/>
    <w:rsid w:val="00FB52D3"/>
    <w:rsid w:val="00FC3AD8"/>
    <w:rsid w:val="00FC4D97"/>
    <w:rsid w:val="00FC66B2"/>
    <w:rsid w:val="00FD36B2"/>
    <w:rsid w:val="00FD64F1"/>
    <w:rsid w:val="00FD76D4"/>
    <w:rsid w:val="00FE41D2"/>
    <w:rsid w:val="00FE716C"/>
    <w:rsid w:val="00FE716D"/>
    <w:rsid w:val="00FF0626"/>
    <w:rsid w:val="00FF5D69"/>
    <w:rsid w:val="3CC478A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87469"/>
  <w15:chartTrackingRefBased/>
  <w15:docId w15:val="{5682F71B-5AD9-4122-98BD-F960DEB0C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2EF"/>
    <w:pPr>
      <w:spacing w:after="0" w:line="240" w:lineRule="auto"/>
    </w:pPr>
    <w:rPr>
      <w:rFonts w:ascii="Times New Roman" w:hAnsi="Times New Roman" w:cs="Times New Roman"/>
      <w:lang w:eastAsia="en-IN"/>
    </w:rPr>
  </w:style>
  <w:style w:type="paragraph" w:styleId="Heading1">
    <w:name w:val="heading 1"/>
    <w:basedOn w:val="Normal"/>
    <w:next w:val="Normal"/>
    <w:link w:val="Heading1Char"/>
    <w:uiPriority w:val="9"/>
    <w:qFormat/>
    <w:rsid w:val="009530C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ain heading,SD JURIDIQUE TITRE 5,Heading 91,List Paragraph1,Heading 911,Heading 92,Annexure,heading 9,Amex_bullet,Equipment,Figure_name,List Paragraph Char Char,List Paragraph11,List Paragraph2,ListPar1,List_TIS,Normal Sentence,Number_1"/>
    <w:basedOn w:val="Normal"/>
    <w:link w:val="ListParagraphChar"/>
    <w:uiPriority w:val="34"/>
    <w:qFormat/>
    <w:rsid w:val="003732EF"/>
    <w:pPr>
      <w:spacing w:before="100" w:beforeAutospacing="1" w:after="100" w:afterAutospacing="1"/>
    </w:pPr>
  </w:style>
  <w:style w:type="paragraph" w:styleId="Header">
    <w:name w:val="header"/>
    <w:basedOn w:val="Normal"/>
    <w:link w:val="HeaderChar"/>
    <w:uiPriority w:val="99"/>
    <w:unhideWhenUsed/>
    <w:rsid w:val="0060079B"/>
    <w:pPr>
      <w:tabs>
        <w:tab w:val="center" w:pos="4513"/>
        <w:tab w:val="right" w:pos="9026"/>
      </w:tabs>
    </w:pPr>
  </w:style>
  <w:style w:type="character" w:customStyle="1" w:styleId="HeaderChar">
    <w:name w:val="Header Char"/>
    <w:basedOn w:val="DefaultParagraphFont"/>
    <w:link w:val="Header"/>
    <w:uiPriority w:val="99"/>
    <w:rsid w:val="0060079B"/>
    <w:rPr>
      <w:rFonts w:ascii="Calibri" w:hAnsi="Calibri" w:cs="Calibri"/>
      <w:lang w:eastAsia="en-IN"/>
    </w:rPr>
  </w:style>
  <w:style w:type="paragraph" w:styleId="Footer">
    <w:name w:val="footer"/>
    <w:basedOn w:val="Normal"/>
    <w:link w:val="FooterChar"/>
    <w:uiPriority w:val="99"/>
    <w:unhideWhenUsed/>
    <w:rsid w:val="0060079B"/>
    <w:pPr>
      <w:tabs>
        <w:tab w:val="center" w:pos="4513"/>
        <w:tab w:val="right" w:pos="9026"/>
      </w:tabs>
    </w:pPr>
  </w:style>
  <w:style w:type="character" w:customStyle="1" w:styleId="FooterChar">
    <w:name w:val="Footer Char"/>
    <w:basedOn w:val="DefaultParagraphFont"/>
    <w:link w:val="Footer"/>
    <w:uiPriority w:val="99"/>
    <w:rsid w:val="0060079B"/>
    <w:rPr>
      <w:rFonts w:ascii="Calibri" w:hAnsi="Calibri" w:cs="Calibri"/>
      <w:lang w:eastAsia="en-IN"/>
    </w:rPr>
  </w:style>
  <w:style w:type="table" w:styleId="TableGrid">
    <w:name w:val="Table Grid"/>
    <w:basedOn w:val="TableNormal"/>
    <w:uiPriority w:val="39"/>
    <w:rsid w:val="0060079B"/>
    <w:pPr>
      <w:spacing w:after="0" w:line="240" w:lineRule="auto"/>
    </w:pPr>
    <w:rPr>
      <w:rFonts w:ascii="Times New Roman" w:eastAsia="Times New Roman" w:hAnsi="Times New Roman" w:cs="Times New Roman"/>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53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34F"/>
    <w:rPr>
      <w:rFonts w:ascii="Segoe UI" w:hAnsi="Segoe UI" w:cs="Segoe UI"/>
      <w:sz w:val="18"/>
      <w:szCs w:val="18"/>
      <w:lang w:eastAsia="en-IN"/>
    </w:rPr>
  </w:style>
  <w:style w:type="paragraph" w:customStyle="1" w:styleId="Default">
    <w:name w:val="Default"/>
    <w:rsid w:val="004E04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9530CB"/>
    <w:rPr>
      <w:rFonts w:asciiTheme="majorHAnsi" w:eastAsiaTheme="majorEastAsia" w:hAnsiTheme="majorHAnsi" w:cstheme="majorBidi"/>
      <w:color w:val="2F5496" w:themeColor="accent1" w:themeShade="BF"/>
      <w:sz w:val="32"/>
      <w:szCs w:val="32"/>
      <w:lang w:eastAsia="en-IN"/>
    </w:rPr>
  </w:style>
  <w:style w:type="character" w:styleId="CommentReference">
    <w:name w:val="annotation reference"/>
    <w:basedOn w:val="DefaultParagraphFont"/>
    <w:uiPriority w:val="99"/>
    <w:semiHidden/>
    <w:unhideWhenUsed/>
    <w:rsid w:val="0066040C"/>
    <w:rPr>
      <w:sz w:val="16"/>
      <w:szCs w:val="16"/>
    </w:rPr>
  </w:style>
  <w:style w:type="paragraph" w:styleId="CommentText">
    <w:name w:val="annotation text"/>
    <w:basedOn w:val="Normal"/>
    <w:link w:val="CommentTextChar"/>
    <w:uiPriority w:val="99"/>
    <w:unhideWhenUsed/>
    <w:rsid w:val="0066040C"/>
    <w:rPr>
      <w:sz w:val="20"/>
      <w:szCs w:val="20"/>
    </w:rPr>
  </w:style>
  <w:style w:type="character" w:customStyle="1" w:styleId="CommentTextChar">
    <w:name w:val="Comment Text Char"/>
    <w:basedOn w:val="DefaultParagraphFont"/>
    <w:link w:val="CommentText"/>
    <w:uiPriority w:val="99"/>
    <w:rsid w:val="0066040C"/>
    <w:rPr>
      <w:rFonts w:ascii="Times New Roman" w:hAnsi="Times New Roman" w:cs="Times New Roman"/>
      <w:sz w:val="20"/>
      <w:szCs w:val="20"/>
      <w:lang w:eastAsia="en-IN"/>
    </w:rPr>
  </w:style>
  <w:style w:type="paragraph" w:styleId="CommentSubject">
    <w:name w:val="annotation subject"/>
    <w:basedOn w:val="CommentText"/>
    <w:next w:val="CommentText"/>
    <w:link w:val="CommentSubjectChar"/>
    <w:uiPriority w:val="99"/>
    <w:semiHidden/>
    <w:unhideWhenUsed/>
    <w:rsid w:val="0066040C"/>
    <w:rPr>
      <w:b/>
      <w:bCs/>
    </w:rPr>
  </w:style>
  <w:style w:type="character" w:customStyle="1" w:styleId="CommentSubjectChar">
    <w:name w:val="Comment Subject Char"/>
    <w:basedOn w:val="CommentTextChar"/>
    <w:link w:val="CommentSubject"/>
    <w:uiPriority w:val="99"/>
    <w:semiHidden/>
    <w:rsid w:val="0066040C"/>
    <w:rPr>
      <w:rFonts w:ascii="Times New Roman" w:hAnsi="Times New Roman" w:cs="Times New Roman"/>
      <w:b/>
      <w:bCs/>
      <w:sz w:val="20"/>
      <w:szCs w:val="20"/>
      <w:lang w:eastAsia="en-IN"/>
    </w:rPr>
  </w:style>
  <w:style w:type="paragraph" w:styleId="Revision">
    <w:name w:val="Revision"/>
    <w:hidden/>
    <w:uiPriority w:val="99"/>
    <w:semiHidden/>
    <w:rsid w:val="0011499B"/>
    <w:pPr>
      <w:spacing w:after="0" w:line="240" w:lineRule="auto"/>
    </w:pPr>
    <w:rPr>
      <w:rFonts w:ascii="Times New Roman" w:hAnsi="Times New Roman" w:cs="Times New Roman"/>
      <w:lang w:eastAsia="en-IN"/>
    </w:rPr>
  </w:style>
  <w:style w:type="paragraph" w:styleId="FootnoteText">
    <w:name w:val="footnote text"/>
    <w:basedOn w:val="Normal"/>
    <w:link w:val="FootnoteTextChar"/>
    <w:uiPriority w:val="99"/>
    <w:semiHidden/>
    <w:unhideWhenUsed/>
    <w:rsid w:val="00D63438"/>
    <w:rPr>
      <w:sz w:val="20"/>
      <w:szCs w:val="20"/>
    </w:rPr>
  </w:style>
  <w:style w:type="character" w:customStyle="1" w:styleId="FootnoteTextChar">
    <w:name w:val="Footnote Text Char"/>
    <w:basedOn w:val="DefaultParagraphFont"/>
    <w:link w:val="FootnoteText"/>
    <w:uiPriority w:val="99"/>
    <w:semiHidden/>
    <w:rsid w:val="00D63438"/>
    <w:rPr>
      <w:rFonts w:ascii="Times New Roman" w:hAnsi="Times New Roman" w:cs="Times New Roman"/>
      <w:sz w:val="20"/>
      <w:szCs w:val="20"/>
      <w:lang w:eastAsia="en-IN"/>
    </w:rPr>
  </w:style>
  <w:style w:type="character" w:styleId="FootnoteReference">
    <w:name w:val="footnote reference"/>
    <w:basedOn w:val="DefaultParagraphFont"/>
    <w:uiPriority w:val="99"/>
    <w:semiHidden/>
    <w:unhideWhenUsed/>
    <w:rsid w:val="00D63438"/>
    <w:rPr>
      <w:vertAlign w:val="superscript"/>
    </w:rPr>
  </w:style>
  <w:style w:type="character" w:customStyle="1" w:styleId="ListParagraphChar">
    <w:name w:val="List Paragraph Char"/>
    <w:aliases w:val="main heading Char,SD JURIDIQUE TITRE 5 Char,Heading 91 Char,List Paragraph1 Char,Heading 911 Char,Heading 92 Char,Annexure Char,heading 9 Char,Amex_bullet Char,Equipment Char,Figure_name Char,List Paragraph Char Char Char"/>
    <w:basedOn w:val="DefaultParagraphFont"/>
    <w:link w:val="ListParagraph"/>
    <w:uiPriority w:val="34"/>
    <w:qFormat/>
    <w:locked/>
    <w:rsid w:val="00593EE0"/>
    <w:rPr>
      <w:rFonts w:ascii="Times New Roman" w:hAnsi="Times New Roman" w:cs="Times New Roman"/>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7056">
      <w:bodyDiv w:val="1"/>
      <w:marLeft w:val="0"/>
      <w:marRight w:val="0"/>
      <w:marTop w:val="0"/>
      <w:marBottom w:val="0"/>
      <w:divBdr>
        <w:top w:val="none" w:sz="0" w:space="0" w:color="auto"/>
        <w:left w:val="none" w:sz="0" w:space="0" w:color="auto"/>
        <w:bottom w:val="none" w:sz="0" w:space="0" w:color="auto"/>
        <w:right w:val="none" w:sz="0" w:space="0" w:color="auto"/>
      </w:divBdr>
    </w:div>
    <w:div w:id="145435695">
      <w:bodyDiv w:val="1"/>
      <w:marLeft w:val="0"/>
      <w:marRight w:val="0"/>
      <w:marTop w:val="0"/>
      <w:marBottom w:val="0"/>
      <w:divBdr>
        <w:top w:val="none" w:sz="0" w:space="0" w:color="auto"/>
        <w:left w:val="none" w:sz="0" w:space="0" w:color="auto"/>
        <w:bottom w:val="none" w:sz="0" w:space="0" w:color="auto"/>
        <w:right w:val="none" w:sz="0" w:space="0" w:color="auto"/>
      </w:divBdr>
    </w:div>
    <w:div w:id="210461232">
      <w:bodyDiv w:val="1"/>
      <w:marLeft w:val="0"/>
      <w:marRight w:val="0"/>
      <w:marTop w:val="0"/>
      <w:marBottom w:val="0"/>
      <w:divBdr>
        <w:top w:val="none" w:sz="0" w:space="0" w:color="auto"/>
        <w:left w:val="none" w:sz="0" w:space="0" w:color="auto"/>
        <w:bottom w:val="none" w:sz="0" w:space="0" w:color="auto"/>
        <w:right w:val="none" w:sz="0" w:space="0" w:color="auto"/>
      </w:divBdr>
    </w:div>
    <w:div w:id="321009907">
      <w:bodyDiv w:val="1"/>
      <w:marLeft w:val="0"/>
      <w:marRight w:val="0"/>
      <w:marTop w:val="0"/>
      <w:marBottom w:val="0"/>
      <w:divBdr>
        <w:top w:val="none" w:sz="0" w:space="0" w:color="auto"/>
        <w:left w:val="none" w:sz="0" w:space="0" w:color="auto"/>
        <w:bottom w:val="none" w:sz="0" w:space="0" w:color="auto"/>
        <w:right w:val="none" w:sz="0" w:space="0" w:color="auto"/>
      </w:divBdr>
    </w:div>
    <w:div w:id="470833217">
      <w:bodyDiv w:val="1"/>
      <w:marLeft w:val="0"/>
      <w:marRight w:val="0"/>
      <w:marTop w:val="0"/>
      <w:marBottom w:val="0"/>
      <w:divBdr>
        <w:top w:val="none" w:sz="0" w:space="0" w:color="auto"/>
        <w:left w:val="none" w:sz="0" w:space="0" w:color="auto"/>
        <w:bottom w:val="none" w:sz="0" w:space="0" w:color="auto"/>
        <w:right w:val="none" w:sz="0" w:space="0" w:color="auto"/>
      </w:divBdr>
    </w:div>
    <w:div w:id="593054573">
      <w:bodyDiv w:val="1"/>
      <w:marLeft w:val="0"/>
      <w:marRight w:val="0"/>
      <w:marTop w:val="0"/>
      <w:marBottom w:val="0"/>
      <w:divBdr>
        <w:top w:val="none" w:sz="0" w:space="0" w:color="auto"/>
        <w:left w:val="none" w:sz="0" w:space="0" w:color="auto"/>
        <w:bottom w:val="none" w:sz="0" w:space="0" w:color="auto"/>
        <w:right w:val="none" w:sz="0" w:space="0" w:color="auto"/>
      </w:divBdr>
    </w:div>
    <w:div w:id="651367346">
      <w:bodyDiv w:val="1"/>
      <w:marLeft w:val="0"/>
      <w:marRight w:val="0"/>
      <w:marTop w:val="0"/>
      <w:marBottom w:val="0"/>
      <w:divBdr>
        <w:top w:val="none" w:sz="0" w:space="0" w:color="auto"/>
        <w:left w:val="none" w:sz="0" w:space="0" w:color="auto"/>
        <w:bottom w:val="none" w:sz="0" w:space="0" w:color="auto"/>
        <w:right w:val="none" w:sz="0" w:space="0" w:color="auto"/>
      </w:divBdr>
    </w:div>
    <w:div w:id="667948869">
      <w:bodyDiv w:val="1"/>
      <w:marLeft w:val="0"/>
      <w:marRight w:val="0"/>
      <w:marTop w:val="0"/>
      <w:marBottom w:val="0"/>
      <w:divBdr>
        <w:top w:val="none" w:sz="0" w:space="0" w:color="auto"/>
        <w:left w:val="none" w:sz="0" w:space="0" w:color="auto"/>
        <w:bottom w:val="none" w:sz="0" w:space="0" w:color="auto"/>
        <w:right w:val="none" w:sz="0" w:space="0" w:color="auto"/>
      </w:divBdr>
      <w:divsChild>
        <w:div w:id="14507637">
          <w:marLeft w:val="0"/>
          <w:marRight w:val="0"/>
          <w:marTop w:val="0"/>
          <w:marBottom w:val="0"/>
          <w:divBdr>
            <w:top w:val="none" w:sz="0" w:space="0" w:color="auto"/>
            <w:left w:val="none" w:sz="0" w:space="0" w:color="auto"/>
            <w:bottom w:val="none" w:sz="0" w:space="0" w:color="auto"/>
            <w:right w:val="none" w:sz="0" w:space="0" w:color="auto"/>
          </w:divBdr>
        </w:div>
        <w:div w:id="1506093659">
          <w:marLeft w:val="0"/>
          <w:marRight w:val="0"/>
          <w:marTop w:val="0"/>
          <w:marBottom w:val="0"/>
          <w:divBdr>
            <w:top w:val="none" w:sz="0" w:space="0" w:color="auto"/>
            <w:left w:val="none" w:sz="0" w:space="0" w:color="auto"/>
            <w:bottom w:val="none" w:sz="0" w:space="0" w:color="auto"/>
            <w:right w:val="none" w:sz="0" w:space="0" w:color="auto"/>
          </w:divBdr>
        </w:div>
        <w:div w:id="1781411656">
          <w:marLeft w:val="0"/>
          <w:marRight w:val="0"/>
          <w:marTop w:val="0"/>
          <w:marBottom w:val="0"/>
          <w:divBdr>
            <w:top w:val="none" w:sz="0" w:space="0" w:color="auto"/>
            <w:left w:val="none" w:sz="0" w:space="0" w:color="auto"/>
            <w:bottom w:val="none" w:sz="0" w:space="0" w:color="auto"/>
            <w:right w:val="none" w:sz="0" w:space="0" w:color="auto"/>
          </w:divBdr>
        </w:div>
        <w:div w:id="2130970809">
          <w:marLeft w:val="0"/>
          <w:marRight w:val="0"/>
          <w:marTop w:val="0"/>
          <w:marBottom w:val="0"/>
          <w:divBdr>
            <w:top w:val="none" w:sz="0" w:space="0" w:color="auto"/>
            <w:left w:val="none" w:sz="0" w:space="0" w:color="auto"/>
            <w:bottom w:val="none" w:sz="0" w:space="0" w:color="auto"/>
            <w:right w:val="none" w:sz="0" w:space="0" w:color="auto"/>
          </w:divBdr>
        </w:div>
        <w:div w:id="762335102">
          <w:marLeft w:val="0"/>
          <w:marRight w:val="0"/>
          <w:marTop w:val="0"/>
          <w:marBottom w:val="0"/>
          <w:divBdr>
            <w:top w:val="none" w:sz="0" w:space="0" w:color="auto"/>
            <w:left w:val="none" w:sz="0" w:space="0" w:color="auto"/>
            <w:bottom w:val="none" w:sz="0" w:space="0" w:color="auto"/>
            <w:right w:val="none" w:sz="0" w:space="0" w:color="auto"/>
          </w:divBdr>
        </w:div>
        <w:div w:id="1088890781">
          <w:marLeft w:val="0"/>
          <w:marRight w:val="0"/>
          <w:marTop w:val="0"/>
          <w:marBottom w:val="0"/>
          <w:divBdr>
            <w:top w:val="none" w:sz="0" w:space="0" w:color="auto"/>
            <w:left w:val="none" w:sz="0" w:space="0" w:color="auto"/>
            <w:bottom w:val="none" w:sz="0" w:space="0" w:color="auto"/>
            <w:right w:val="none" w:sz="0" w:space="0" w:color="auto"/>
          </w:divBdr>
        </w:div>
        <w:div w:id="947545047">
          <w:marLeft w:val="0"/>
          <w:marRight w:val="0"/>
          <w:marTop w:val="0"/>
          <w:marBottom w:val="0"/>
          <w:divBdr>
            <w:top w:val="none" w:sz="0" w:space="0" w:color="auto"/>
            <w:left w:val="none" w:sz="0" w:space="0" w:color="auto"/>
            <w:bottom w:val="none" w:sz="0" w:space="0" w:color="auto"/>
            <w:right w:val="none" w:sz="0" w:space="0" w:color="auto"/>
          </w:divBdr>
        </w:div>
        <w:div w:id="1175533115">
          <w:marLeft w:val="0"/>
          <w:marRight w:val="0"/>
          <w:marTop w:val="0"/>
          <w:marBottom w:val="0"/>
          <w:divBdr>
            <w:top w:val="none" w:sz="0" w:space="0" w:color="auto"/>
            <w:left w:val="none" w:sz="0" w:space="0" w:color="auto"/>
            <w:bottom w:val="none" w:sz="0" w:space="0" w:color="auto"/>
            <w:right w:val="none" w:sz="0" w:space="0" w:color="auto"/>
          </w:divBdr>
        </w:div>
        <w:div w:id="112554531">
          <w:marLeft w:val="0"/>
          <w:marRight w:val="0"/>
          <w:marTop w:val="0"/>
          <w:marBottom w:val="0"/>
          <w:divBdr>
            <w:top w:val="none" w:sz="0" w:space="0" w:color="auto"/>
            <w:left w:val="none" w:sz="0" w:space="0" w:color="auto"/>
            <w:bottom w:val="none" w:sz="0" w:space="0" w:color="auto"/>
            <w:right w:val="none" w:sz="0" w:space="0" w:color="auto"/>
          </w:divBdr>
        </w:div>
        <w:div w:id="1528982030">
          <w:marLeft w:val="0"/>
          <w:marRight w:val="0"/>
          <w:marTop w:val="0"/>
          <w:marBottom w:val="0"/>
          <w:divBdr>
            <w:top w:val="none" w:sz="0" w:space="0" w:color="auto"/>
            <w:left w:val="none" w:sz="0" w:space="0" w:color="auto"/>
            <w:bottom w:val="none" w:sz="0" w:space="0" w:color="auto"/>
            <w:right w:val="none" w:sz="0" w:space="0" w:color="auto"/>
          </w:divBdr>
        </w:div>
        <w:div w:id="860122165">
          <w:marLeft w:val="0"/>
          <w:marRight w:val="0"/>
          <w:marTop w:val="0"/>
          <w:marBottom w:val="0"/>
          <w:divBdr>
            <w:top w:val="none" w:sz="0" w:space="0" w:color="auto"/>
            <w:left w:val="none" w:sz="0" w:space="0" w:color="auto"/>
            <w:bottom w:val="none" w:sz="0" w:space="0" w:color="auto"/>
            <w:right w:val="none" w:sz="0" w:space="0" w:color="auto"/>
          </w:divBdr>
        </w:div>
        <w:div w:id="1341273543">
          <w:marLeft w:val="0"/>
          <w:marRight w:val="0"/>
          <w:marTop w:val="0"/>
          <w:marBottom w:val="0"/>
          <w:divBdr>
            <w:top w:val="none" w:sz="0" w:space="0" w:color="auto"/>
            <w:left w:val="none" w:sz="0" w:space="0" w:color="auto"/>
            <w:bottom w:val="none" w:sz="0" w:space="0" w:color="auto"/>
            <w:right w:val="none" w:sz="0" w:space="0" w:color="auto"/>
          </w:divBdr>
        </w:div>
      </w:divsChild>
    </w:div>
    <w:div w:id="686176161">
      <w:bodyDiv w:val="1"/>
      <w:marLeft w:val="0"/>
      <w:marRight w:val="0"/>
      <w:marTop w:val="0"/>
      <w:marBottom w:val="0"/>
      <w:divBdr>
        <w:top w:val="none" w:sz="0" w:space="0" w:color="auto"/>
        <w:left w:val="none" w:sz="0" w:space="0" w:color="auto"/>
        <w:bottom w:val="none" w:sz="0" w:space="0" w:color="auto"/>
        <w:right w:val="none" w:sz="0" w:space="0" w:color="auto"/>
      </w:divBdr>
    </w:div>
    <w:div w:id="803962052">
      <w:bodyDiv w:val="1"/>
      <w:marLeft w:val="0"/>
      <w:marRight w:val="0"/>
      <w:marTop w:val="0"/>
      <w:marBottom w:val="0"/>
      <w:divBdr>
        <w:top w:val="none" w:sz="0" w:space="0" w:color="auto"/>
        <w:left w:val="none" w:sz="0" w:space="0" w:color="auto"/>
        <w:bottom w:val="none" w:sz="0" w:space="0" w:color="auto"/>
        <w:right w:val="none" w:sz="0" w:space="0" w:color="auto"/>
      </w:divBdr>
    </w:div>
    <w:div w:id="825972921">
      <w:bodyDiv w:val="1"/>
      <w:marLeft w:val="0"/>
      <w:marRight w:val="0"/>
      <w:marTop w:val="0"/>
      <w:marBottom w:val="0"/>
      <w:divBdr>
        <w:top w:val="none" w:sz="0" w:space="0" w:color="auto"/>
        <w:left w:val="none" w:sz="0" w:space="0" w:color="auto"/>
        <w:bottom w:val="none" w:sz="0" w:space="0" w:color="auto"/>
        <w:right w:val="none" w:sz="0" w:space="0" w:color="auto"/>
      </w:divBdr>
    </w:div>
    <w:div w:id="838077011">
      <w:bodyDiv w:val="1"/>
      <w:marLeft w:val="0"/>
      <w:marRight w:val="0"/>
      <w:marTop w:val="0"/>
      <w:marBottom w:val="0"/>
      <w:divBdr>
        <w:top w:val="none" w:sz="0" w:space="0" w:color="auto"/>
        <w:left w:val="none" w:sz="0" w:space="0" w:color="auto"/>
        <w:bottom w:val="none" w:sz="0" w:space="0" w:color="auto"/>
        <w:right w:val="none" w:sz="0" w:space="0" w:color="auto"/>
      </w:divBdr>
    </w:div>
    <w:div w:id="849567171">
      <w:bodyDiv w:val="1"/>
      <w:marLeft w:val="0"/>
      <w:marRight w:val="0"/>
      <w:marTop w:val="0"/>
      <w:marBottom w:val="0"/>
      <w:divBdr>
        <w:top w:val="none" w:sz="0" w:space="0" w:color="auto"/>
        <w:left w:val="none" w:sz="0" w:space="0" w:color="auto"/>
        <w:bottom w:val="none" w:sz="0" w:space="0" w:color="auto"/>
        <w:right w:val="none" w:sz="0" w:space="0" w:color="auto"/>
      </w:divBdr>
    </w:div>
    <w:div w:id="867373169">
      <w:bodyDiv w:val="1"/>
      <w:marLeft w:val="0"/>
      <w:marRight w:val="0"/>
      <w:marTop w:val="0"/>
      <w:marBottom w:val="0"/>
      <w:divBdr>
        <w:top w:val="none" w:sz="0" w:space="0" w:color="auto"/>
        <w:left w:val="none" w:sz="0" w:space="0" w:color="auto"/>
        <w:bottom w:val="none" w:sz="0" w:space="0" w:color="auto"/>
        <w:right w:val="none" w:sz="0" w:space="0" w:color="auto"/>
      </w:divBdr>
    </w:div>
    <w:div w:id="988167088">
      <w:bodyDiv w:val="1"/>
      <w:marLeft w:val="0"/>
      <w:marRight w:val="0"/>
      <w:marTop w:val="0"/>
      <w:marBottom w:val="0"/>
      <w:divBdr>
        <w:top w:val="none" w:sz="0" w:space="0" w:color="auto"/>
        <w:left w:val="none" w:sz="0" w:space="0" w:color="auto"/>
        <w:bottom w:val="none" w:sz="0" w:space="0" w:color="auto"/>
        <w:right w:val="none" w:sz="0" w:space="0" w:color="auto"/>
      </w:divBdr>
    </w:div>
    <w:div w:id="1080757608">
      <w:bodyDiv w:val="1"/>
      <w:marLeft w:val="0"/>
      <w:marRight w:val="0"/>
      <w:marTop w:val="0"/>
      <w:marBottom w:val="0"/>
      <w:divBdr>
        <w:top w:val="none" w:sz="0" w:space="0" w:color="auto"/>
        <w:left w:val="none" w:sz="0" w:space="0" w:color="auto"/>
        <w:bottom w:val="none" w:sz="0" w:space="0" w:color="auto"/>
        <w:right w:val="none" w:sz="0" w:space="0" w:color="auto"/>
      </w:divBdr>
    </w:div>
    <w:div w:id="1083721531">
      <w:bodyDiv w:val="1"/>
      <w:marLeft w:val="0"/>
      <w:marRight w:val="0"/>
      <w:marTop w:val="0"/>
      <w:marBottom w:val="0"/>
      <w:divBdr>
        <w:top w:val="none" w:sz="0" w:space="0" w:color="auto"/>
        <w:left w:val="none" w:sz="0" w:space="0" w:color="auto"/>
        <w:bottom w:val="none" w:sz="0" w:space="0" w:color="auto"/>
        <w:right w:val="none" w:sz="0" w:space="0" w:color="auto"/>
      </w:divBdr>
    </w:div>
    <w:div w:id="1105274142">
      <w:bodyDiv w:val="1"/>
      <w:marLeft w:val="0"/>
      <w:marRight w:val="0"/>
      <w:marTop w:val="0"/>
      <w:marBottom w:val="0"/>
      <w:divBdr>
        <w:top w:val="none" w:sz="0" w:space="0" w:color="auto"/>
        <w:left w:val="none" w:sz="0" w:space="0" w:color="auto"/>
        <w:bottom w:val="none" w:sz="0" w:space="0" w:color="auto"/>
        <w:right w:val="none" w:sz="0" w:space="0" w:color="auto"/>
      </w:divBdr>
    </w:div>
    <w:div w:id="1108624417">
      <w:bodyDiv w:val="1"/>
      <w:marLeft w:val="0"/>
      <w:marRight w:val="0"/>
      <w:marTop w:val="0"/>
      <w:marBottom w:val="0"/>
      <w:divBdr>
        <w:top w:val="none" w:sz="0" w:space="0" w:color="auto"/>
        <w:left w:val="none" w:sz="0" w:space="0" w:color="auto"/>
        <w:bottom w:val="none" w:sz="0" w:space="0" w:color="auto"/>
        <w:right w:val="none" w:sz="0" w:space="0" w:color="auto"/>
      </w:divBdr>
    </w:div>
    <w:div w:id="1144812707">
      <w:bodyDiv w:val="1"/>
      <w:marLeft w:val="0"/>
      <w:marRight w:val="0"/>
      <w:marTop w:val="0"/>
      <w:marBottom w:val="0"/>
      <w:divBdr>
        <w:top w:val="none" w:sz="0" w:space="0" w:color="auto"/>
        <w:left w:val="none" w:sz="0" w:space="0" w:color="auto"/>
        <w:bottom w:val="none" w:sz="0" w:space="0" w:color="auto"/>
        <w:right w:val="none" w:sz="0" w:space="0" w:color="auto"/>
      </w:divBdr>
    </w:div>
    <w:div w:id="1188060356">
      <w:bodyDiv w:val="1"/>
      <w:marLeft w:val="0"/>
      <w:marRight w:val="0"/>
      <w:marTop w:val="0"/>
      <w:marBottom w:val="0"/>
      <w:divBdr>
        <w:top w:val="none" w:sz="0" w:space="0" w:color="auto"/>
        <w:left w:val="none" w:sz="0" w:space="0" w:color="auto"/>
        <w:bottom w:val="none" w:sz="0" w:space="0" w:color="auto"/>
        <w:right w:val="none" w:sz="0" w:space="0" w:color="auto"/>
      </w:divBdr>
    </w:div>
    <w:div w:id="1244795548">
      <w:bodyDiv w:val="1"/>
      <w:marLeft w:val="0"/>
      <w:marRight w:val="0"/>
      <w:marTop w:val="0"/>
      <w:marBottom w:val="0"/>
      <w:divBdr>
        <w:top w:val="none" w:sz="0" w:space="0" w:color="auto"/>
        <w:left w:val="none" w:sz="0" w:space="0" w:color="auto"/>
        <w:bottom w:val="none" w:sz="0" w:space="0" w:color="auto"/>
        <w:right w:val="none" w:sz="0" w:space="0" w:color="auto"/>
      </w:divBdr>
    </w:div>
    <w:div w:id="1279335379">
      <w:bodyDiv w:val="1"/>
      <w:marLeft w:val="0"/>
      <w:marRight w:val="0"/>
      <w:marTop w:val="0"/>
      <w:marBottom w:val="0"/>
      <w:divBdr>
        <w:top w:val="none" w:sz="0" w:space="0" w:color="auto"/>
        <w:left w:val="none" w:sz="0" w:space="0" w:color="auto"/>
        <w:bottom w:val="none" w:sz="0" w:space="0" w:color="auto"/>
        <w:right w:val="none" w:sz="0" w:space="0" w:color="auto"/>
      </w:divBdr>
    </w:div>
    <w:div w:id="1284655811">
      <w:bodyDiv w:val="1"/>
      <w:marLeft w:val="0"/>
      <w:marRight w:val="0"/>
      <w:marTop w:val="0"/>
      <w:marBottom w:val="0"/>
      <w:divBdr>
        <w:top w:val="none" w:sz="0" w:space="0" w:color="auto"/>
        <w:left w:val="none" w:sz="0" w:space="0" w:color="auto"/>
        <w:bottom w:val="none" w:sz="0" w:space="0" w:color="auto"/>
        <w:right w:val="none" w:sz="0" w:space="0" w:color="auto"/>
      </w:divBdr>
    </w:div>
    <w:div w:id="1562911552">
      <w:bodyDiv w:val="1"/>
      <w:marLeft w:val="0"/>
      <w:marRight w:val="0"/>
      <w:marTop w:val="0"/>
      <w:marBottom w:val="0"/>
      <w:divBdr>
        <w:top w:val="none" w:sz="0" w:space="0" w:color="auto"/>
        <w:left w:val="none" w:sz="0" w:space="0" w:color="auto"/>
        <w:bottom w:val="none" w:sz="0" w:space="0" w:color="auto"/>
        <w:right w:val="none" w:sz="0" w:space="0" w:color="auto"/>
      </w:divBdr>
    </w:div>
    <w:div w:id="1567569813">
      <w:bodyDiv w:val="1"/>
      <w:marLeft w:val="0"/>
      <w:marRight w:val="0"/>
      <w:marTop w:val="0"/>
      <w:marBottom w:val="0"/>
      <w:divBdr>
        <w:top w:val="none" w:sz="0" w:space="0" w:color="auto"/>
        <w:left w:val="none" w:sz="0" w:space="0" w:color="auto"/>
        <w:bottom w:val="none" w:sz="0" w:space="0" w:color="auto"/>
        <w:right w:val="none" w:sz="0" w:space="0" w:color="auto"/>
      </w:divBdr>
    </w:div>
    <w:div w:id="1587380184">
      <w:bodyDiv w:val="1"/>
      <w:marLeft w:val="0"/>
      <w:marRight w:val="0"/>
      <w:marTop w:val="0"/>
      <w:marBottom w:val="0"/>
      <w:divBdr>
        <w:top w:val="none" w:sz="0" w:space="0" w:color="auto"/>
        <w:left w:val="none" w:sz="0" w:space="0" w:color="auto"/>
        <w:bottom w:val="none" w:sz="0" w:space="0" w:color="auto"/>
        <w:right w:val="none" w:sz="0" w:space="0" w:color="auto"/>
      </w:divBdr>
    </w:div>
    <w:div w:id="1622154314">
      <w:bodyDiv w:val="1"/>
      <w:marLeft w:val="0"/>
      <w:marRight w:val="0"/>
      <w:marTop w:val="0"/>
      <w:marBottom w:val="0"/>
      <w:divBdr>
        <w:top w:val="none" w:sz="0" w:space="0" w:color="auto"/>
        <w:left w:val="none" w:sz="0" w:space="0" w:color="auto"/>
        <w:bottom w:val="none" w:sz="0" w:space="0" w:color="auto"/>
        <w:right w:val="none" w:sz="0" w:space="0" w:color="auto"/>
      </w:divBdr>
    </w:div>
    <w:div w:id="1701127780">
      <w:bodyDiv w:val="1"/>
      <w:marLeft w:val="0"/>
      <w:marRight w:val="0"/>
      <w:marTop w:val="0"/>
      <w:marBottom w:val="0"/>
      <w:divBdr>
        <w:top w:val="none" w:sz="0" w:space="0" w:color="auto"/>
        <w:left w:val="none" w:sz="0" w:space="0" w:color="auto"/>
        <w:bottom w:val="none" w:sz="0" w:space="0" w:color="auto"/>
        <w:right w:val="none" w:sz="0" w:space="0" w:color="auto"/>
      </w:divBdr>
    </w:div>
    <w:div w:id="1758744537">
      <w:bodyDiv w:val="1"/>
      <w:marLeft w:val="0"/>
      <w:marRight w:val="0"/>
      <w:marTop w:val="0"/>
      <w:marBottom w:val="0"/>
      <w:divBdr>
        <w:top w:val="none" w:sz="0" w:space="0" w:color="auto"/>
        <w:left w:val="none" w:sz="0" w:space="0" w:color="auto"/>
        <w:bottom w:val="none" w:sz="0" w:space="0" w:color="auto"/>
        <w:right w:val="none" w:sz="0" w:space="0" w:color="auto"/>
      </w:divBdr>
    </w:div>
    <w:div w:id="1783765884">
      <w:bodyDiv w:val="1"/>
      <w:marLeft w:val="0"/>
      <w:marRight w:val="0"/>
      <w:marTop w:val="0"/>
      <w:marBottom w:val="0"/>
      <w:divBdr>
        <w:top w:val="none" w:sz="0" w:space="0" w:color="auto"/>
        <w:left w:val="none" w:sz="0" w:space="0" w:color="auto"/>
        <w:bottom w:val="none" w:sz="0" w:space="0" w:color="auto"/>
        <w:right w:val="none" w:sz="0" w:space="0" w:color="auto"/>
      </w:divBdr>
    </w:div>
    <w:div w:id="1811894938">
      <w:bodyDiv w:val="1"/>
      <w:marLeft w:val="0"/>
      <w:marRight w:val="0"/>
      <w:marTop w:val="0"/>
      <w:marBottom w:val="0"/>
      <w:divBdr>
        <w:top w:val="none" w:sz="0" w:space="0" w:color="auto"/>
        <w:left w:val="none" w:sz="0" w:space="0" w:color="auto"/>
        <w:bottom w:val="none" w:sz="0" w:space="0" w:color="auto"/>
        <w:right w:val="none" w:sz="0" w:space="0" w:color="auto"/>
      </w:divBdr>
    </w:div>
    <w:div w:id="1812625366">
      <w:bodyDiv w:val="1"/>
      <w:marLeft w:val="0"/>
      <w:marRight w:val="0"/>
      <w:marTop w:val="0"/>
      <w:marBottom w:val="0"/>
      <w:divBdr>
        <w:top w:val="none" w:sz="0" w:space="0" w:color="auto"/>
        <w:left w:val="none" w:sz="0" w:space="0" w:color="auto"/>
        <w:bottom w:val="none" w:sz="0" w:space="0" w:color="auto"/>
        <w:right w:val="none" w:sz="0" w:space="0" w:color="auto"/>
      </w:divBdr>
    </w:div>
    <w:div w:id="1839225926">
      <w:bodyDiv w:val="1"/>
      <w:marLeft w:val="0"/>
      <w:marRight w:val="0"/>
      <w:marTop w:val="0"/>
      <w:marBottom w:val="0"/>
      <w:divBdr>
        <w:top w:val="none" w:sz="0" w:space="0" w:color="auto"/>
        <w:left w:val="none" w:sz="0" w:space="0" w:color="auto"/>
        <w:bottom w:val="none" w:sz="0" w:space="0" w:color="auto"/>
        <w:right w:val="none" w:sz="0" w:space="0" w:color="auto"/>
      </w:divBdr>
    </w:div>
    <w:div w:id="1946578275">
      <w:bodyDiv w:val="1"/>
      <w:marLeft w:val="0"/>
      <w:marRight w:val="0"/>
      <w:marTop w:val="0"/>
      <w:marBottom w:val="0"/>
      <w:divBdr>
        <w:top w:val="none" w:sz="0" w:space="0" w:color="auto"/>
        <w:left w:val="none" w:sz="0" w:space="0" w:color="auto"/>
        <w:bottom w:val="none" w:sz="0" w:space="0" w:color="auto"/>
        <w:right w:val="none" w:sz="0" w:space="0" w:color="auto"/>
      </w:divBdr>
    </w:div>
    <w:div w:id="1950817276">
      <w:bodyDiv w:val="1"/>
      <w:marLeft w:val="0"/>
      <w:marRight w:val="0"/>
      <w:marTop w:val="0"/>
      <w:marBottom w:val="0"/>
      <w:divBdr>
        <w:top w:val="none" w:sz="0" w:space="0" w:color="auto"/>
        <w:left w:val="none" w:sz="0" w:space="0" w:color="auto"/>
        <w:bottom w:val="none" w:sz="0" w:space="0" w:color="auto"/>
        <w:right w:val="none" w:sz="0" w:space="0" w:color="auto"/>
      </w:divBdr>
    </w:div>
    <w:div w:id="20813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C8454-5257-4D2A-A1E5-EC118F3D6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1589</Words>
  <Characters>9059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Vivek</cp:lastModifiedBy>
  <cp:revision>2</cp:revision>
  <dcterms:created xsi:type="dcterms:W3CDTF">2025-11-05T12:08:00Z</dcterms:created>
  <dcterms:modified xsi:type="dcterms:W3CDTF">2026-07-23T05:13:00Z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b74929-8982-4e89-a6a6-55140f77cd43_Enabled">
    <vt:lpwstr>true</vt:lpwstr>
  </property>
  <property fmtid="{D5CDD505-2E9C-101B-9397-08002B2CF9AE}" pid="3" name="MSIP_Label_48b74929-8982-4e89-a6a6-55140f77cd43_SetDate">
    <vt:lpwstr>2025-02-17T10:58:50Z</vt:lpwstr>
  </property>
  <property fmtid="{D5CDD505-2E9C-101B-9397-08002B2CF9AE}" pid="4" name="MSIP_Label_48b74929-8982-4e89-a6a6-55140f77cd43_Method">
    <vt:lpwstr>Standard</vt:lpwstr>
  </property>
  <property fmtid="{D5CDD505-2E9C-101B-9397-08002B2CF9AE}" pid="5" name="MSIP_Label_48b74929-8982-4e89-a6a6-55140f77cd43_Name">
    <vt:lpwstr>Public</vt:lpwstr>
  </property>
  <property fmtid="{D5CDD505-2E9C-101B-9397-08002B2CF9AE}" pid="6" name="MSIP_Label_48b74929-8982-4e89-a6a6-55140f77cd43_SiteId">
    <vt:lpwstr>ba0d53ed-09ae-4316-a989-372fb86ca0b4</vt:lpwstr>
  </property>
  <property fmtid="{D5CDD505-2E9C-101B-9397-08002B2CF9AE}" pid="7" name="MSIP_Label_48b74929-8982-4e89-a6a6-55140f77cd43_ActionId">
    <vt:lpwstr>d0b2b481-5920-4fc1-9d26-4b1b0cfdb077</vt:lpwstr>
  </property>
  <property fmtid="{D5CDD505-2E9C-101B-9397-08002B2CF9AE}" pid="8" name="MSIP_Label_48b74929-8982-4e89-a6a6-55140f77cd43_ContentBits">
    <vt:lpwstr>0</vt:lpwstr>
  </property>
</Properties>
</file>